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C1D4" w14:textId="77777777" w:rsidR="00296272" w:rsidRPr="00296272" w:rsidRDefault="00296272" w:rsidP="00296272">
      <w:pPr>
        <w:spacing w:before="100" w:beforeAutospacing="1" w:after="100" w:afterAutospacing="1" w:line="240" w:lineRule="auto"/>
        <w:ind w:firstLine="0"/>
        <w:outlineLvl w:val="0"/>
        <w:rPr>
          <w:b/>
          <w:bCs/>
          <w:kern w:val="36"/>
          <w:sz w:val="48"/>
          <w:szCs w:val="48"/>
        </w:rPr>
      </w:pPr>
      <w:r w:rsidRPr="00296272">
        <w:rPr>
          <w:b/>
          <w:bCs/>
          <w:kern w:val="36"/>
          <w:sz w:val="48"/>
          <w:szCs w:val="48"/>
        </w:rPr>
        <w:t>If you want, I can now:</w:t>
      </w:r>
    </w:p>
    <w:p w14:paraId="135BAB13" w14:textId="77777777" w:rsidR="00296272" w:rsidRPr="00296272" w:rsidRDefault="00296272" w:rsidP="00296272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296272">
        <w:rPr>
          <w:b/>
          <w:bCs/>
        </w:rPr>
        <w:t>Map the entire timeline</w:t>
      </w:r>
      <w:r w:rsidRPr="00296272">
        <w:t xml:space="preserve"> from 2012–2025 showing how the pattern evolved.</w:t>
      </w:r>
    </w:p>
    <w:p w14:paraId="3EBEAF33" w14:textId="77777777" w:rsidR="00296272" w:rsidRPr="00296272" w:rsidRDefault="00296272" w:rsidP="00296272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296272">
        <w:rPr>
          <w:b/>
          <w:bCs/>
        </w:rPr>
        <w:t>Analyze the injunction violations</w:t>
      </w:r>
      <w:r w:rsidRPr="00296272">
        <w:t xml:space="preserve"> using the actual text of the injunction.</w:t>
      </w:r>
    </w:p>
    <w:p w14:paraId="34541351" w14:textId="77777777" w:rsidR="00296272" w:rsidRPr="00296272" w:rsidRDefault="00296272" w:rsidP="00296272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296272">
        <w:rPr>
          <w:b/>
          <w:bCs/>
        </w:rPr>
        <w:t>Show how the severance was used to isolate Candace</w:t>
      </w:r>
      <w:r w:rsidRPr="00296272">
        <w:t xml:space="preserve"> and force settlement.</w:t>
      </w:r>
    </w:p>
    <w:p w14:paraId="1875D176" w14:textId="77777777" w:rsidR="00296272" w:rsidRPr="00296272" w:rsidRDefault="00296272" w:rsidP="00296272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296272">
        <w:rPr>
          <w:b/>
          <w:bCs/>
        </w:rPr>
        <w:t>Break down the fiduciary breaches</w:t>
      </w:r>
      <w:r w:rsidRPr="00296272">
        <w:t xml:space="preserve"> using Texas Trust Code standards.</w:t>
      </w:r>
    </w:p>
    <w:p w14:paraId="7AF156D5" w14:textId="77777777" w:rsidR="00296272" w:rsidRPr="00296272" w:rsidRDefault="00296272" w:rsidP="00296272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296272">
        <w:rPr>
          <w:b/>
          <w:bCs/>
        </w:rPr>
        <w:t>Explain how the malpractice case was neutralized</w:t>
      </w:r>
      <w:r w:rsidRPr="00296272">
        <w:t xml:space="preserve"> through procedural pressure.</w:t>
      </w:r>
    </w:p>
    <w:p w14:paraId="2CF30F68" w14:textId="77777777" w:rsidR="00142284" w:rsidRDefault="00142284" w:rsidP="00142284">
      <w:pPr>
        <w:pStyle w:val="NormalWeb"/>
        <w:numPr>
          <w:ilvl w:val="0"/>
          <w:numId w:val="9"/>
        </w:numPr>
      </w:pPr>
      <w:r>
        <w:t>Map the timeline of injunction violations</w:t>
      </w:r>
    </w:p>
    <w:p w14:paraId="03A2E133" w14:textId="77777777" w:rsidR="00142284" w:rsidRDefault="00142284" w:rsidP="00142284">
      <w:pPr>
        <w:pStyle w:val="NormalWeb"/>
        <w:numPr>
          <w:ilvl w:val="0"/>
          <w:numId w:val="9"/>
        </w:numPr>
      </w:pPr>
      <w:r>
        <w:t>Identify each instance where fiduciary duties were breached</w:t>
      </w:r>
    </w:p>
    <w:p w14:paraId="1AA621E5" w14:textId="77777777" w:rsidR="00142284" w:rsidRDefault="00142284" w:rsidP="00142284">
      <w:pPr>
        <w:pStyle w:val="NormalWeb"/>
        <w:numPr>
          <w:ilvl w:val="0"/>
          <w:numId w:val="9"/>
        </w:numPr>
      </w:pPr>
      <w:r>
        <w:t>Analyze the consolidation/severance maneuver</w:t>
      </w:r>
    </w:p>
    <w:p w14:paraId="726F02CA" w14:textId="77777777" w:rsidR="00142284" w:rsidRDefault="00142284" w:rsidP="00142284">
      <w:pPr>
        <w:pStyle w:val="NormalWeb"/>
        <w:numPr>
          <w:ilvl w:val="0"/>
          <w:numId w:val="9"/>
        </w:numPr>
      </w:pPr>
      <w:r>
        <w:t>Show how the “extorted settlement” pattern fits Texas case law</w:t>
      </w:r>
    </w:p>
    <w:p w14:paraId="27CAECDB" w14:textId="77777777" w:rsidR="00142284" w:rsidRDefault="00142284" w:rsidP="00142284">
      <w:pPr>
        <w:pStyle w:val="NormalWeb"/>
        <w:numPr>
          <w:ilvl w:val="0"/>
          <w:numId w:val="9"/>
        </w:numPr>
      </w:pPr>
      <w:r>
        <w:t>Prepare a structured argument for federal review or collateral attack</w:t>
      </w:r>
    </w:p>
    <w:p w14:paraId="2C399A74" w14:textId="77777777" w:rsidR="00142284" w:rsidRDefault="00142284" w:rsidP="00142284">
      <w:pPr>
        <w:pStyle w:val="NormalWeb"/>
        <w:numPr>
          <w:ilvl w:val="0"/>
          <w:numId w:val="10"/>
        </w:numPr>
      </w:pPr>
      <w:r>
        <w:t>Map the timeline showing exactly when they began ignoring the injunction</w:t>
      </w:r>
    </w:p>
    <w:p w14:paraId="38E72D15" w14:textId="77777777" w:rsidR="00142284" w:rsidRDefault="00142284" w:rsidP="00142284">
      <w:pPr>
        <w:pStyle w:val="NormalWeb"/>
        <w:numPr>
          <w:ilvl w:val="0"/>
          <w:numId w:val="10"/>
        </w:numPr>
      </w:pPr>
      <w:r>
        <w:t>Show how the probate court’s orders conflict with the federal injunction</w:t>
      </w:r>
    </w:p>
    <w:p w14:paraId="17B94969" w14:textId="77777777" w:rsidR="00142284" w:rsidRDefault="00142284" w:rsidP="00142284">
      <w:pPr>
        <w:pStyle w:val="NormalWeb"/>
        <w:numPr>
          <w:ilvl w:val="0"/>
          <w:numId w:val="10"/>
        </w:numPr>
      </w:pPr>
      <w:r>
        <w:t>Identify every instance where they used Candace’s “forfeiture” as a pretext to violate the injunction</w:t>
      </w:r>
    </w:p>
    <w:p w14:paraId="3A41FF43" w14:textId="77777777" w:rsidR="00142284" w:rsidRDefault="00142284" w:rsidP="00142284">
      <w:pPr>
        <w:pStyle w:val="NormalWeb"/>
        <w:numPr>
          <w:ilvl w:val="0"/>
          <w:numId w:val="10"/>
        </w:numPr>
      </w:pPr>
      <w:r>
        <w:t>Analyze the consolidation/severance maneuver and how it was used to isolate and neutralize Candace’s federal rights</w:t>
      </w:r>
    </w:p>
    <w:p w14:paraId="3BF91C3E" w14:textId="77777777" w:rsidR="003962C5" w:rsidRDefault="003962C5" w:rsidP="003962C5">
      <w:pPr>
        <w:pStyle w:val="NormalWeb"/>
        <w:numPr>
          <w:ilvl w:val="0"/>
          <w:numId w:val="11"/>
        </w:numPr>
      </w:pPr>
      <w:r>
        <w:t>Map the timeline showing exactly when they began ignoring the injunction</w:t>
      </w:r>
    </w:p>
    <w:p w14:paraId="5EBD3F34" w14:textId="77777777" w:rsidR="003962C5" w:rsidRDefault="003962C5" w:rsidP="003962C5">
      <w:pPr>
        <w:pStyle w:val="NormalWeb"/>
        <w:numPr>
          <w:ilvl w:val="0"/>
          <w:numId w:val="11"/>
        </w:numPr>
      </w:pPr>
      <w:r>
        <w:t>Show how the probate court’s orders conflict with the federal injunction</w:t>
      </w:r>
    </w:p>
    <w:p w14:paraId="1D2E8F13" w14:textId="77777777" w:rsidR="003962C5" w:rsidRDefault="003962C5" w:rsidP="003962C5">
      <w:pPr>
        <w:pStyle w:val="NormalWeb"/>
        <w:numPr>
          <w:ilvl w:val="0"/>
          <w:numId w:val="11"/>
        </w:numPr>
      </w:pPr>
      <w:r>
        <w:t>Identify every instance where they used Candace’s “forfeiture” as a pretext to violate the injunction</w:t>
      </w:r>
    </w:p>
    <w:p w14:paraId="1E3395EF" w14:textId="77777777" w:rsidR="003962C5" w:rsidRDefault="003962C5" w:rsidP="003962C5">
      <w:pPr>
        <w:pStyle w:val="NormalWeb"/>
        <w:numPr>
          <w:ilvl w:val="0"/>
          <w:numId w:val="11"/>
        </w:numPr>
      </w:pPr>
      <w:r>
        <w:t>Analyze the consolidation/severance maneuver and how it was used to isolate and neutralize Candace’s federal rights</w:t>
      </w:r>
    </w:p>
    <w:p w14:paraId="3C0BB6FC" w14:textId="77777777" w:rsidR="003962C5" w:rsidRDefault="003962C5" w:rsidP="003962C5">
      <w:pPr>
        <w:pStyle w:val="NormalWeb"/>
      </w:pPr>
      <w:r>
        <w:t>Just tell me which direction you want to go next</w:t>
      </w:r>
    </w:p>
    <w:p w14:paraId="2BBB6DDB" w14:textId="77777777" w:rsidR="00296272" w:rsidRDefault="00296272"/>
    <w:sectPr w:rsidR="00296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14DB8"/>
    <w:multiLevelType w:val="multilevel"/>
    <w:tmpl w:val="A936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9726D"/>
    <w:multiLevelType w:val="multilevel"/>
    <w:tmpl w:val="301C1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9A1522"/>
    <w:multiLevelType w:val="multilevel"/>
    <w:tmpl w:val="B7EC5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29461CF"/>
    <w:multiLevelType w:val="multilevel"/>
    <w:tmpl w:val="3F3A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76624"/>
    <w:multiLevelType w:val="hybridMultilevel"/>
    <w:tmpl w:val="8B20C850"/>
    <w:lvl w:ilvl="0" w:tplc="60BC6198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1A7840"/>
    <w:multiLevelType w:val="hybridMultilevel"/>
    <w:tmpl w:val="F9BAE962"/>
    <w:lvl w:ilvl="0" w:tplc="407E9902">
      <w:start w:val="1"/>
      <w:numFmt w:val="upperLetter"/>
      <w:pStyle w:val="Heading3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7E0C28"/>
    <w:multiLevelType w:val="hybridMultilevel"/>
    <w:tmpl w:val="4D8426BA"/>
    <w:lvl w:ilvl="0" w:tplc="D4FEA0A0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27E4E"/>
    <w:multiLevelType w:val="multilevel"/>
    <w:tmpl w:val="97AE6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E65F46"/>
    <w:multiLevelType w:val="hybridMultilevel"/>
    <w:tmpl w:val="0B8C7194"/>
    <w:lvl w:ilvl="0" w:tplc="45148280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91E3C"/>
    <w:multiLevelType w:val="multilevel"/>
    <w:tmpl w:val="5B8C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72"/>
    <w:rsid w:val="00142284"/>
    <w:rsid w:val="00296272"/>
    <w:rsid w:val="002C1D5E"/>
    <w:rsid w:val="003962C5"/>
    <w:rsid w:val="00574FE0"/>
    <w:rsid w:val="008D42E0"/>
    <w:rsid w:val="00BB2304"/>
    <w:rsid w:val="00BD2E04"/>
    <w:rsid w:val="00C27844"/>
    <w:rsid w:val="00C74FF2"/>
    <w:rsid w:val="00D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A2836"/>
  <w15:chartTrackingRefBased/>
  <w15:docId w15:val="{1BFD8009-B925-47AB-AAAE-83781D53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2E0"/>
    <w:pPr>
      <w:spacing w:before="120" w:after="240" w:line="48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2E04"/>
    <w:pPr>
      <w:widowControl w:val="0"/>
      <w:spacing w:before="240" w:line="240" w:lineRule="auto"/>
      <w:ind w:firstLine="0"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C1F52"/>
    <w:pPr>
      <w:keepNext/>
      <w:keepLines/>
      <w:numPr>
        <w:numId w:val="5"/>
      </w:numPr>
      <w:spacing w:after="120"/>
      <w:ind w:left="14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27844"/>
    <w:pPr>
      <w:numPr>
        <w:numId w:val="7"/>
      </w:numPr>
      <w:contextualSpacing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E0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umPara1">
    <w:name w:val="Num Para 1"/>
    <w:basedOn w:val="Normal"/>
    <w:link w:val="NumPara1Char"/>
    <w:autoRedefine/>
    <w:qFormat/>
    <w:rsid w:val="00DC1F52"/>
    <w:pPr>
      <w:tabs>
        <w:tab w:val="num" w:pos="1440"/>
      </w:tabs>
      <w:ind w:firstLine="360"/>
      <w:jc w:val="both"/>
    </w:pPr>
    <w:rPr>
      <w:szCs w:val="28"/>
    </w:rPr>
  </w:style>
  <w:style w:type="character" w:customStyle="1" w:styleId="NumPara1Char">
    <w:name w:val="Num Para 1 Char"/>
    <w:basedOn w:val="DefaultParagraphFont"/>
    <w:link w:val="NumPara1"/>
    <w:rsid w:val="00DC1F52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F52"/>
    <w:rPr>
      <w:rFonts w:asciiTheme="majorHAnsi" w:eastAsiaTheme="majorEastAsia" w:hAnsiTheme="majorHAnsi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C1D5E"/>
    <w:pPr>
      <w:spacing w:line="240" w:lineRule="auto"/>
      <w:ind w:firstLine="0"/>
      <w:contextualSpacing/>
      <w:jc w:val="center"/>
      <w:outlineLvl w:val="0"/>
    </w:pPr>
    <w:rPr>
      <w:rFonts w:eastAsiaTheme="majorEastAsia" w:cstheme="majorBidi"/>
      <w:b/>
      <w:spacing w:val="-10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C1D5E"/>
    <w:rPr>
      <w:rFonts w:ascii="Times New Roman" w:eastAsiaTheme="majorEastAsia" w:hAnsi="Times New Roman" w:cstheme="majorBidi"/>
      <w:b/>
      <w:spacing w:val="-10"/>
      <w:kern w:val="28"/>
      <w:sz w:val="28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C27844"/>
    <w:rPr>
      <w:rFonts w:ascii="Times New Roman" w:eastAsia="Times New Roman" w:hAnsi="Times New Roman" w:cs="Times New Roman"/>
      <w:b/>
      <w:sz w:val="28"/>
      <w:szCs w:val="24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BD2E04"/>
    <w:pPr>
      <w:spacing w:after="160" w:line="240" w:lineRule="auto"/>
      <w:ind w:left="720" w:right="720" w:firstLine="0"/>
      <w:contextualSpacing/>
      <w:jc w:val="both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E04"/>
    <w:rPr>
      <w:rFonts w:ascii="Times New Roman" w:hAnsi="Times New Roman"/>
      <w:i/>
      <w:iCs/>
      <w:color w:val="404040" w:themeColor="text1" w:themeTint="BF"/>
      <w:sz w:val="28"/>
    </w:rPr>
  </w:style>
  <w:style w:type="character" w:styleId="Strong">
    <w:name w:val="Strong"/>
    <w:basedOn w:val="DefaultParagraphFont"/>
    <w:uiPriority w:val="22"/>
    <w:qFormat/>
    <w:rsid w:val="0029627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96272"/>
    <w:pPr>
      <w:spacing w:before="100" w:beforeAutospacing="1" w:after="100" w:afterAutospacing="1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Cypher</dc:creator>
  <cp:keywords/>
  <dc:description/>
  <cp:lastModifiedBy>Luis Cypher</cp:lastModifiedBy>
  <cp:revision>1</cp:revision>
  <dcterms:created xsi:type="dcterms:W3CDTF">2026-04-14T19:11:00Z</dcterms:created>
  <dcterms:modified xsi:type="dcterms:W3CDTF">2026-04-20T21:53:00Z</dcterms:modified>
</cp:coreProperties>
</file>