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FCDCD"/>
  <w:body>
    <w:p w14:paraId="77DEEBAC" w14:textId="77777777" w:rsidR="00000000" w:rsidRDefault="00703058">
      <w:r>
        <w:t xml:space="preserve">The color-of-law interception (theft) of family generational asset transfers is a serious organized crime industry operating out of state probate </w:t>
      </w:r>
      <w:r>
        <w:t xml:space="preserve">courts. The variety and number of schemes and artifice employed vary according to the case. I call the case in point “Grift of the Brunstings”. </w:t>
      </w:r>
    </w:p>
    <w:p w14:paraId="3E0414E7" w14:textId="77777777" w:rsidR="00000000" w:rsidRDefault="00703058">
      <w:pPr>
        <w:spacing w:after="120" w:line="240" w:lineRule="auto"/>
        <w:ind w:left="720" w:firstLine="0"/>
        <w:rPr>
          <w:rFonts w:eastAsiaTheme="minorEastAsia" w:cs="Times New Roman"/>
          <w:i/>
          <w:iCs/>
          <w:color w:val="404040" w:themeColor="text1" w:themeTint="BF"/>
        </w:rPr>
      </w:pPr>
    </w:p>
    <w:tbl>
      <w:tblPr>
        <w:tblStyle w:val="TableGrid"/>
        <w:tblpPr w:leftFromText="180" w:rightFromText="180" w:vertAnchor="text" w:tblpY="1"/>
        <w:tblOverlap w:val="never"/>
        <w:tblW w:w="0" w:type="auto"/>
        <w:tblInd w:w="0" w:type="dxa"/>
        <w:tblLayout w:type="fixed"/>
        <w:tblLook w:val="04A0" w:firstRow="1" w:lastRow="0" w:firstColumn="1" w:lastColumn="0" w:noHBand="0" w:noVBand="1"/>
      </w:tblPr>
      <w:tblGrid>
        <w:gridCol w:w="6573"/>
        <w:gridCol w:w="6377"/>
      </w:tblGrid>
      <w:tr w:rsidR="00000000" w14:paraId="4B332C66" w14:textId="77777777">
        <w:trPr>
          <w:cantSplit/>
        </w:trPr>
        <w:tc>
          <w:tcPr>
            <w:tcW w:w="6573" w:type="dxa"/>
            <w:tcBorders>
              <w:top w:val="single" w:sz="4" w:space="0" w:color="auto"/>
              <w:left w:val="single" w:sz="4" w:space="0" w:color="auto"/>
              <w:bottom w:val="single" w:sz="4" w:space="0" w:color="auto"/>
              <w:right w:val="single" w:sz="4" w:space="0" w:color="auto"/>
            </w:tcBorders>
            <w:hideMark/>
          </w:tcPr>
          <w:p w14:paraId="3DA2BFA7" w14:textId="77777777" w:rsidR="00000000" w:rsidRDefault="00703058">
            <w:pPr>
              <w:widowControl/>
              <w:spacing w:before="100" w:beforeAutospacing="1" w:after="100" w:afterAutospacing="1" w:line="240" w:lineRule="auto"/>
              <w:ind w:right="0" w:firstLine="0"/>
              <w:jc w:val="left"/>
              <w:outlineLvl w:val="1"/>
              <w:rPr>
                <w:rFonts w:eastAsia="Times New Roman" w:cs="Times New Roman"/>
                <w:b/>
                <w:bCs/>
                <w:noProof w:val="0"/>
                <w:sz w:val="36"/>
                <w:szCs w:val="36"/>
              </w:rPr>
            </w:pPr>
            <w:r>
              <w:rPr>
                <w:rFonts w:eastAsia="Times New Roman" w:cs="Times New Roman"/>
                <w:b/>
                <w:bCs/>
                <w:noProof w:val="0"/>
                <w:sz w:val="36"/>
                <w:szCs w:val="36"/>
              </w:rPr>
              <w:t>Ashkenazim</w:t>
            </w:r>
          </w:p>
          <w:p w14:paraId="279F4C6D" w14:textId="77777777" w:rsidR="00000000" w:rsidRDefault="00703058">
            <w:pPr>
              <w:pStyle w:val="NoSpacing"/>
              <w:framePr w:hSpace="0" w:wrap="auto" w:vAnchor="margin" w:yAlign="inline"/>
              <w:widowControl w:val="0"/>
            </w:pPr>
            <w:r>
              <w:drawing>
                <wp:anchor distT="0" distB="0" distL="114300" distR="114300" simplePos="0" relativeHeight="251678720" behindDoc="1" locked="0" layoutInCell="1" allowOverlap="1" wp14:anchorId="06600114" wp14:editId="2C16180F">
                  <wp:simplePos x="0" y="0"/>
                  <wp:positionH relativeFrom="column">
                    <wp:posOffset>111125</wp:posOffset>
                  </wp:positionH>
                  <wp:positionV relativeFrom="paragraph">
                    <wp:posOffset>3175</wp:posOffset>
                  </wp:positionV>
                  <wp:extent cx="1443355" cy="1924050"/>
                  <wp:effectExtent l="0" t="0" r="4445" b="0"/>
                  <wp:wrapSquare wrapText="bothSides"/>
                  <wp:docPr id="12"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3355" cy="1924050"/>
                          </a:xfrm>
                          <a:prstGeom prst="rect">
                            <a:avLst/>
                          </a:prstGeom>
                          <a:noFill/>
                        </pic:spPr>
                      </pic:pic>
                    </a:graphicData>
                  </a:graphic>
                  <wp14:sizeRelH relativeFrom="page">
                    <wp14:pctWidth>0</wp14:pctWidth>
                  </wp14:sizeRelH>
                  <wp14:sizeRelV relativeFrom="page">
                    <wp14:pctHeight>0</wp14:pctHeight>
                  </wp14:sizeRelV>
                </wp:anchor>
              </w:drawing>
            </w:r>
            <w:r>
              <w:t>Attorney Stephen A. Mendel</w:t>
            </w:r>
          </w:p>
          <w:p w14:paraId="2543B483" w14:textId="77777777" w:rsidR="00000000" w:rsidRDefault="00703058">
            <w:pPr>
              <w:pStyle w:val="NoSpacing"/>
              <w:framePr w:hSpace="0" w:wrap="auto" w:vAnchor="margin" w:yAlign="inline"/>
              <w:widowControl w:val="0"/>
              <w:rPr>
                <w:rFonts w:eastAsiaTheme="minorHAnsi"/>
              </w:rPr>
            </w:pPr>
            <w:r>
              <w:rPr>
                <w:rFonts w:eastAsiaTheme="minorHAnsi"/>
              </w:rPr>
              <w:t>Bar Card Number: 1393065</w:t>
            </w:r>
            <w:r>
              <w:rPr>
                <w:rFonts w:eastAsiaTheme="minorHAnsi"/>
              </w:rPr>
              <w:t>0</w:t>
            </w:r>
          </w:p>
          <w:p w14:paraId="3170C0EF" w14:textId="77777777" w:rsidR="00000000" w:rsidRDefault="00703058">
            <w:pPr>
              <w:pStyle w:val="NoSpacing"/>
              <w:framePr w:hSpace="0" w:wrap="auto" w:vAnchor="margin" w:yAlign="inline"/>
              <w:widowControl w:val="0"/>
              <w:rPr>
                <w:rFonts w:eastAsiaTheme="minorHAnsi"/>
              </w:rPr>
            </w:pPr>
            <w:r>
              <w:rPr>
                <w:rFonts w:eastAsiaTheme="minorHAnsi"/>
              </w:rPr>
              <w:t>TX License Date: 11/06/1987</w:t>
            </w:r>
          </w:p>
          <w:p w14:paraId="4DA66545" w14:textId="77777777" w:rsidR="00000000" w:rsidRDefault="00703058">
            <w:pPr>
              <w:pStyle w:val="NoSpacing"/>
              <w:framePr w:hSpace="0" w:wrap="auto" w:vAnchor="margin" w:yAlign="inline"/>
              <w:widowControl w:val="0"/>
            </w:pPr>
            <w:r>
              <w:t>The Mendel Law Firm, L.P.</w:t>
            </w:r>
          </w:p>
          <w:p w14:paraId="0387D6BF" w14:textId="77777777" w:rsidR="00000000" w:rsidRDefault="00703058">
            <w:pPr>
              <w:pStyle w:val="NoSpacing"/>
              <w:framePr w:hSpace="0" w:wrap="auto" w:vAnchor="margin" w:yAlign="inline"/>
              <w:widowControl w:val="0"/>
            </w:pPr>
            <w:r>
              <w:t>1155 Dairy Ashford, Suite 104</w:t>
            </w:r>
          </w:p>
          <w:p w14:paraId="0D46063A" w14:textId="77777777" w:rsidR="00000000" w:rsidRDefault="00703058">
            <w:pPr>
              <w:pStyle w:val="NoSpacing"/>
              <w:framePr w:hSpace="0" w:wrap="auto" w:vAnchor="margin" w:yAlign="inline"/>
              <w:widowControl w:val="0"/>
            </w:pPr>
            <w:r>
              <w:t>Houston 77079</w:t>
            </w:r>
          </w:p>
          <w:p w14:paraId="52699252" w14:textId="77777777" w:rsidR="00000000" w:rsidRDefault="00703058">
            <w:pPr>
              <w:pStyle w:val="NoSpacing"/>
              <w:framePr w:hSpace="0" w:wrap="auto" w:vAnchor="margin" w:yAlign="inline"/>
              <w:widowControl w:val="0"/>
            </w:pPr>
            <w:r>
              <w:t>United States (US)</w:t>
            </w:r>
          </w:p>
          <w:p w14:paraId="371F36EC" w14:textId="77777777" w:rsidR="00000000" w:rsidRDefault="00703058">
            <w:pPr>
              <w:pStyle w:val="NoSpacing"/>
              <w:framePr w:hSpace="0" w:wrap="auto" w:vAnchor="margin" w:yAlign="inline"/>
              <w:widowControl w:val="0"/>
            </w:pPr>
            <w:r>
              <w:t xml:space="preserve">Phone: </w:t>
            </w:r>
            <w:hyperlink r:id="rId10" w:history="1">
              <w:r>
                <w:rPr>
                  <w:rStyle w:val="Hyperlink"/>
                  <w:rFonts w:eastAsia="Times New Roman"/>
                </w:rPr>
                <w:t>(281) 759-3213</w:t>
              </w:r>
            </w:hyperlink>
            <w:r>
              <w:br/>
              <w:t>Fax: 281-759-3214</w:t>
            </w:r>
          </w:p>
        </w:tc>
        <w:tc>
          <w:tcPr>
            <w:tcW w:w="6377" w:type="dxa"/>
            <w:tcBorders>
              <w:top w:val="single" w:sz="4" w:space="0" w:color="auto"/>
              <w:left w:val="single" w:sz="4" w:space="0" w:color="auto"/>
              <w:bottom w:val="single" w:sz="4" w:space="0" w:color="auto"/>
              <w:right w:val="single" w:sz="4" w:space="0" w:color="auto"/>
            </w:tcBorders>
            <w:hideMark/>
          </w:tcPr>
          <w:p w14:paraId="438ABB20" w14:textId="77777777" w:rsidR="00000000" w:rsidRDefault="00703058">
            <w:pPr>
              <w:spacing w:before="0" w:after="0" w:line="240" w:lineRule="auto"/>
              <w:ind w:right="0" w:firstLine="0"/>
              <w:contextualSpacing/>
              <w:rPr>
                <w:rFonts w:cstheme="minorBidi"/>
                <w:noProof w:val="0"/>
              </w:rPr>
            </w:pPr>
            <w:r>
              <w:drawing>
                <wp:anchor distT="0" distB="0" distL="114300" distR="114300" simplePos="0" relativeHeight="251680768" behindDoc="1" locked="0" layoutInCell="1" allowOverlap="1" wp14:anchorId="66A5CF57" wp14:editId="021018EC">
                  <wp:simplePos x="0" y="0"/>
                  <wp:positionH relativeFrom="column">
                    <wp:posOffset>-29845</wp:posOffset>
                  </wp:positionH>
                  <wp:positionV relativeFrom="paragraph">
                    <wp:posOffset>-3175</wp:posOffset>
                  </wp:positionV>
                  <wp:extent cx="2094865" cy="1806575"/>
                  <wp:effectExtent l="0" t="0" r="635" b="3175"/>
                  <wp:wrapSquare wrapText="bothSides"/>
                  <wp:docPr id="11"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l="-394" t="-456" r="394" b="456"/>
                          <a:stretch>
                            <a:fillRect/>
                          </a:stretch>
                        </pic:blipFill>
                        <pic:spPr bwMode="auto">
                          <a:xfrm>
                            <a:off x="0" y="0"/>
                            <a:ext cx="2094865" cy="18065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Bidi"/>
                <w:noProof w:val="0"/>
              </w:rPr>
              <w:t>Attorney Bobbie G.</w:t>
            </w:r>
            <w:r>
              <w:rPr>
                <w:rFonts w:cstheme="minorBidi"/>
                <w:noProof w:val="0"/>
              </w:rPr>
              <w:t xml:space="preserve"> Bayless</w:t>
            </w:r>
          </w:p>
          <w:p w14:paraId="3C3987BA" w14:textId="77777777" w:rsidR="00000000" w:rsidRDefault="00703058">
            <w:pPr>
              <w:spacing w:before="0" w:after="0" w:line="240" w:lineRule="auto"/>
              <w:ind w:right="0" w:firstLine="0"/>
              <w:contextualSpacing/>
              <w:rPr>
                <w:rFonts w:cstheme="minorBidi"/>
                <w:noProof w:val="0"/>
              </w:rPr>
            </w:pPr>
            <w:r>
              <w:rPr>
                <w:rFonts w:cstheme="minorBidi"/>
                <w:noProof w:val="0"/>
              </w:rPr>
              <w:t>Bar Card Number: 01940600</w:t>
            </w:r>
          </w:p>
          <w:p w14:paraId="0618C0E4" w14:textId="77777777" w:rsidR="00000000" w:rsidRDefault="00703058">
            <w:pPr>
              <w:spacing w:before="0" w:after="0" w:line="240" w:lineRule="auto"/>
              <w:ind w:right="0" w:firstLine="0"/>
              <w:contextualSpacing/>
              <w:rPr>
                <w:rFonts w:cstheme="minorBidi"/>
                <w:noProof w:val="0"/>
              </w:rPr>
            </w:pPr>
            <w:r>
              <w:rPr>
                <w:rFonts w:cstheme="minorBidi"/>
                <w:noProof w:val="0"/>
              </w:rPr>
              <w:t>TX License Date: 05/26/1980</w:t>
            </w:r>
          </w:p>
          <w:p w14:paraId="7EACA7E4" w14:textId="77777777" w:rsidR="00000000" w:rsidRDefault="00703058">
            <w:pPr>
              <w:spacing w:before="0" w:after="0" w:line="240" w:lineRule="auto"/>
              <w:ind w:right="0" w:firstLine="0"/>
              <w:contextualSpacing/>
              <w:rPr>
                <w:rFonts w:cstheme="minorBidi"/>
                <w:b/>
                <w:bCs/>
                <w:noProof w:val="0"/>
              </w:rPr>
            </w:pPr>
            <w:r>
              <w:rPr>
                <w:rFonts w:cstheme="minorBidi"/>
                <w:b/>
                <w:bCs/>
                <w:noProof w:val="0"/>
              </w:rPr>
              <w:t>Bayless and Stokes</w:t>
            </w:r>
          </w:p>
          <w:p w14:paraId="40B1D774" w14:textId="77777777" w:rsidR="00000000" w:rsidRDefault="00703058">
            <w:pPr>
              <w:spacing w:before="0" w:after="0" w:line="240" w:lineRule="auto"/>
              <w:ind w:right="0" w:firstLine="0"/>
              <w:contextualSpacing/>
              <w:rPr>
                <w:rFonts w:cstheme="minorBidi"/>
                <w:noProof w:val="0"/>
              </w:rPr>
            </w:pPr>
            <w:r>
              <w:rPr>
                <w:rFonts w:cstheme="minorBidi"/>
                <w:noProof w:val="0"/>
              </w:rPr>
              <w:t>Houston Office</w:t>
            </w:r>
          </w:p>
          <w:p w14:paraId="01A36046" w14:textId="77777777" w:rsidR="00000000" w:rsidRDefault="00703058">
            <w:pPr>
              <w:spacing w:before="0" w:after="0" w:line="240" w:lineRule="auto"/>
              <w:ind w:right="0" w:firstLine="0"/>
              <w:contextualSpacing/>
              <w:rPr>
                <w:rFonts w:cstheme="minorBidi"/>
                <w:noProof w:val="0"/>
              </w:rPr>
            </w:pPr>
            <w:r>
              <w:rPr>
                <w:rFonts w:cstheme="minorBidi"/>
                <w:noProof w:val="0"/>
              </w:rPr>
              <w:t>2931 Ferndale Street</w:t>
            </w:r>
          </w:p>
          <w:p w14:paraId="73B11CD1" w14:textId="77777777" w:rsidR="00000000" w:rsidRDefault="00703058">
            <w:pPr>
              <w:spacing w:before="0" w:after="0" w:line="240" w:lineRule="auto"/>
              <w:ind w:right="0" w:firstLine="0"/>
              <w:contextualSpacing/>
              <w:rPr>
                <w:rFonts w:cstheme="minorBidi"/>
                <w:noProof w:val="0"/>
              </w:rPr>
            </w:pPr>
            <w:r>
              <w:rPr>
                <w:rFonts w:cstheme="minorBidi"/>
                <w:noProof w:val="0"/>
              </w:rPr>
              <w:t>Houston, Texas 77098</w:t>
            </w:r>
          </w:p>
          <w:p w14:paraId="6CAB7164" w14:textId="77777777" w:rsidR="00000000" w:rsidRDefault="00703058">
            <w:pPr>
              <w:spacing w:before="0" w:after="0" w:line="240" w:lineRule="auto"/>
              <w:ind w:right="0" w:firstLine="0"/>
              <w:contextualSpacing/>
              <w:rPr>
                <w:rFonts w:cstheme="minorBidi"/>
                <w:noProof w:val="0"/>
              </w:rPr>
            </w:pPr>
            <w:r>
              <w:rPr>
                <w:rFonts w:cstheme="minorBidi"/>
                <w:noProof w:val="0"/>
              </w:rPr>
              <w:t>Phone: 713-522-2224</w:t>
            </w:r>
          </w:p>
          <w:p w14:paraId="0829EB43" w14:textId="77777777" w:rsidR="00000000" w:rsidRDefault="00703058">
            <w:pPr>
              <w:spacing w:before="0" w:after="0" w:line="240" w:lineRule="auto"/>
              <w:ind w:right="0" w:firstLine="0"/>
              <w:contextualSpacing/>
              <w:rPr>
                <w:rFonts w:cstheme="minorBidi"/>
              </w:rPr>
            </w:pPr>
            <w:proofErr w:type="gramStart"/>
            <w:r>
              <w:rPr>
                <w:rFonts w:cstheme="minorBidi"/>
                <w:noProof w:val="0"/>
              </w:rPr>
              <w:t>Fax  713</w:t>
            </w:r>
            <w:proofErr w:type="gramEnd"/>
            <w:r>
              <w:rPr>
                <w:rFonts w:cstheme="minorBidi"/>
                <w:noProof w:val="0"/>
              </w:rPr>
              <w:t>-522-2218</w:t>
            </w:r>
          </w:p>
        </w:tc>
      </w:tr>
      <w:tr w:rsidR="00000000" w14:paraId="27AE4CC4" w14:textId="77777777">
        <w:trPr>
          <w:cantSplit/>
        </w:trPr>
        <w:tc>
          <w:tcPr>
            <w:tcW w:w="6573" w:type="dxa"/>
            <w:tcBorders>
              <w:top w:val="single" w:sz="4" w:space="0" w:color="auto"/>
              <w:left w:val="single" w:sz="4" w:space="0" w:color="auto"/>
              <w:bottom w:val="single" w:sz="4" w:space="0" w:color="auto"/>
              <w:right w:val="single" w:sz="4" w:space="0" w:color="auto"/>
            </w:tcBorders>
            <w:hideMark/>
          </w:tcPr>
          <w:p w14:paraId="053B34B4" w14:textId="77777777" w:rsidR="00000000" w:rsidRDefault="00703058">
            <w:pPr>
              <w:pStyle w:val="NoSpacing"/>
              <w:framePr w:hSpace="0" w:wrap="auto" w:vAnchor="margin" w:yAlign="inline"/>
              <w:widowControl w:val="0"/>
            </w:pPr>
            <w:r>
              <w:lastRenderedPageBreak/>
              <w:drawing>
                <wp:anchor distT="0" distB="0" distL="114300" distR="114300" simplePos="0" relativeHeight="251682816" behindDoc="1" locked="0" layoutInCell="1" allowOverlap="1" wp14:anchorId="3E98C0D2" wp14:editId="0529FCC8">
                  <wp:simplePos x="0" y="0"/>
                  <wp:positionH relativeFrom="column">
                    <wp:posOffset>-50165</wp:posOffset>
                  </wp:positionH>
                  <wp:positionV relativeFrom="paragraph">
                    <wp:posOffset>635</wp:posOffset>
                  </wp:positionV>
                  <wp:extent cx="1565910" cy="2353945"/>
                  <wp:effectExtent l="0" t="0" r="0" b="8255"/>
                  <wp:wrapSquare wrapText="bothSides"/>
                  <wp:docPr id="10"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5910" cy="2353945"/>
                          </a:xfrm>
                          <a:prstGeom prst="rect">
                            <a:avLst/>
                          </a:prstGeom>
                          <a:noFill/>
                        </pic:spPr>
                      </pic:pic>
                    </a:graphicData>
                  </a:graphic>
                  <wp14:sizeRelH relativeFrom="page">
                    <wp14:pctWidth>0</wp14:pctWidth>
                  </wp14:sizeRelH>
                  <wp14:sizeRelV relativeFrom="page">
                    <wp14:pctHeight>0</wp14:pctHeight>
                  </wp14:sizeRelV>
                </wp:anchor>
              </w:drawing>
            </w:r>
            <w:r>
              <w:t xml:space="preserve">Attorney </w:t>
            </w:r>
            <w:r>
              <w:t>Candace L. Kunz-Freed</w:t>
            </w:r>
          </w:p>
          <w:p w14:paraId="4B61833B" w14:textId="77777777" w:rsidR="00000000" w:rsidRDefault="00703058">
            <w:pPr>
              <w:pStyle w:val="NoSpacing"/>
              <w:framePr w:hSpace="0" w:wrap="auto" w:vAnchor="margin" w:yAlign="inline"/>
              <w:widowControl w:val="0"/>
            </w:pPr>
            <w:r>
              <w:rPr>
                <w:rStyle w:val="Strong"/>
                <w:b w:val="0"/>
              </w:rPr>
              <w:t>Bar Card Number:</w:t>
            </w:r>
            <w:r>
              <w:t xml:space="preserve"> 24041282</w:t>
            </w:r>
            <w:r>
              <w:br/>
            </w:r>
            <w:r>
              <w:rPr>
                <w:rStyle w:val="Strong"/>
                <w:b w:val="0"/>
              </w:rPr>
              <w:t>TX License Date:</w:t>
            </w:r>
            <w:r>
              <w:t xml:space="preserve"> 11/06/2003</w:t>
            </w:r>
          </w:p>
          <w:p w14:paraId="76F43DDB" w14:textId="77777777" w:rsidR="00000000" w:rsidRDefault="00703058">
            <w:pPr>
              <w:pStyle w:val="NoSpacing"/>
              <w:framePr w:hSpace="0" w:wrap="auto" w:vAnchor="margin" w:yAlign="inline"/>
              <w:widowControl w:val="0"/>
            </w:pPr>
            <w:r>
              <w:t>9545 Katy Freeway, Suite 400,</w:t>
            </w:r>
          </w:p>
          <w:p w14:paraId="12F5E915" w14:textId="77777777" w:rsidR="00000000" w:rsidRDefault="00703058">
            <w:pPr>
              <w:pStyle w:val="NoSpacing"/>
              <w:framePr w:hSpace="0" w:wrap="auto" w:vAnchor="margin" w:yAlign="inline"/>
              <w:widowControl w:val="0"/>
            </w:pPr>
            <w:r>
              <w:t>Houston, Texas 77024</w:t>
            </w:r>
          </w:p>
          <w:p w14:paraId="7EFB7B1B" w14:textId="77777777" w:rsidR="00000000" w:rsidRDefault="00703058">
            <w:pPr>
              <w:ind w:firstLine="0"/>
              <w:rPr>
                <w:rFonts w:cstheme="minorBidi"/>
              </w:rPr>
            </w:pPr>
            <w:r>
              <w:rPr>
                <w:rFonts w:cstheme="minorBidi"/>
              </w:rPr>
              <w:t>713-467-1060</w:t>
            </w:r>
          </w:p>
        </w:tc>
        <w:tc>
          <w:tcPr>
            <w:tcW w:w="6377" w:type="dxa"/>
            <w:tcBorders>
              <w:top w:val="single" w:sz="4" w:space="0" w:color="auto"/>
              <w:left w:val="single" w:sz="4" w:space="0" w:color="auto"/>
              <w:bottom w:val="single" w:sz="4" w:space="0" w:color="auto"/>
              <w:right w:val="single" w:sz="4" w:space="0" w:color="auto"/>
            </w:tcBorders>
            <w:hideMark/>
          </w:tcPr>
          <w:p w14:paraId="10AEA8A8" w14:textId="77777777" w:rsidR="00000000" w:rsidRDefault="00703058">
            <w:pPr>
              <w:pStyle w:val="NoSpacing"/>
              <w:framePr w:hSpace="0" w:wrap="auto" w:vAnchor="margin" w:yAlign="inline"/>
              <w:widowControl w:val="0"/>
            </w:pPr>
            <w:r>
              <w:drawing>
                <wp:anchor distT="0" distB="0" distL="114300" distR="114300" simplePos="0" relativeHeight="251684864" behindDoc="1" locked="0" layoutInCell="1" allowOverlap="1" wp14:anchorId="36D32986" wp14:editId="5DECBB3E">
                  <wp:simplePos x="0" y="0"/>
                  <wp:positionH relativeFrom="column">
                    <wp:align>left</wp:align>
                  </wp:positionH>
                  <wp:positionV relativeFrom="paragraph">
                    <wp:posOffset>76835</wp:posOffset>
                  </wp:positionV>
                  <wp:extent cx="2066290" cy="2345055"/>
                  <wp:effectExtent l="0" t="0" r="0" b="0"/>
                  <wp:wrapTight wrapText="bothSides">
                    <wp:wrapPolygon edited="0">
                      <wp:start x="0" y="0"/>
                      <wp:lineTo x="0" y="21407"/>
                      <wp:lineTo x="21308" y="21407"/>
                      <wp:lineTo x="21308" y="0"/>
                      <wp:lineTo x="0" y="0"/>
                    </wp:wrapPolygon>
                  </wp:wrapTight>
                  <wp:docPr id="9" name="Picture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6290" cy="2345055"/>
                          </a:xfrm>
                          <a:prstGeom prst="rect">
                            <a:avLst/>
                          </a:prstGeom>
                          <a:noFill/>
                        </pic:spPr>
                      </pic:pic>
                    </a:graphicData>
                  </a:graphic>
                  <wp14:sizeRelH relativeFrom="page">
                    <wp14:pctWidth>0</wp14:pctWidth>
                  </wp14:sizeRelH>
                  <wp14:sizeRelV relativeFrom="page">
                    <wp14:pctHeight>0</wp14:pctHeight>
                  </wp14:sizeRelV>
                </wp:anchor>
              </w:drawing>
            </w:r>
            <w:r>
              <w:t xml:space="preserve">Attorney Bernard Lisle Mathews </w:t>
            </w:r>
            <w:r>
              <w:t>III</w:t>
            </w:r>
          </w:p>
          <w:p w14:paraId="1788F399" w14:textId="77777777" w:rsidR="00000000" w:rsidRDefault="00703058">
            <w:pPr>
              <w:pStyle w:val="NoSpacing"/>
              <w:framePr w:hSpace="0" w:wrap="auto" w:vAnchor="margin" w:yAlign="inline"/>
              <w:widowControl w:val="0"/>
            </w:pPr>
            <w:r>
              <w:t>State Bar of Texas ID Number: 13187450</w:t>
            </w:r>
          </w:p>
          <w:p w14:paraId="7BF601C1" w14:textId="77777777" w:rsidR="00000000" w:rsidRDefault="00703058">
            <w:pPr>
              <w:pStyle w:val="NoSpacing"/>
              <w:framePr w:hSpace="0" w:wrap="auto" w:vAnchor="margin" w:yAlign="inline"/>
              <w:widowControl w:val="0"/>
            </w:pPr>
            <w:r>
              <w:t>Staff Attorney with Vacek &amp; Freed</w:t>
            </w:r>
          </w:p>
        </w:tc>
      </w:tr>
      <w:tr w:rsidR="00000000" w14:paraId="2C6D567B" w14:textId="77777777">
        <w:trPr>
          <w:cantSplit/>
        </w:trPr>
        <w:tc>
          <w:tcPr>
            <w:tcW w:w="6573" w:type="dxa"/>
            <w:tcBorders>
              <w:top w:val="single" w:sz="4" w:space="0" w:color="auto"/>
              <w:left w:val="single" w:sz="4" w:space="0" w:color="auto"/>
              <w:bottom w:val="single" w:sz="4" w:space="0" w:color="auto"/>
              <w:right w:val="single" w:sz="4" w:space="0" w:color="auto"/>
            </w:tcBorders>
            <w:hideMark/>
          </w:tcPr>
          <w:p w14:paraId="64C3B439" w14:textId="77777777" w:rsidR="00000000" w:rsidRDefault="00703058">
            <w:pPr>
              <w:pStyle w:val="NoSpacing"/>
              <w:framePr w:hSpace="0" w:wrap="auto" w:vAnchor="margin" w:yAlign="inline"/>
              <w:widowControl w:val="0"/>
            </w:pPr>
            <w:r>
              <w:t>Ashkenazim</w:t>
            </w:r>
          </w:p>
          <w:p w14:paraId="42E5D150" w14:textId="77777777" w:rsidR="00000000" w:rsidRDefault="00703058">
            <w:pPr>
              <w:pStyle w:val="NoSpacing"/>
              <w:framePr w:hSpace="0" w:wrap="auto" w:vAnchor="margin" w:yAlign="inline"/>
              <w:widowControl w:val="0"/>
            </w:pPr>
            <w:r>
              <w:drawing>
                <wp:anchor distT="0" distB="0" distL="114300" distR="114300" simplePos="0" relativeHeight="251686912" behindDoc="0" locked="0" layoutInCell="1" allowOverlap="1" wp14:anchorId="5DD810E3" wp14:editId="450CCCBA">
                  <wp:simplePos x="0" y="0"/>
                  <wp:positionH relativeFrom="column">
                    <wp:posOffset>-49530</wp:posOffset>
                  </wp:positionH>
                  <wp:positionV relativeFrom="paragraph">
                    <wp:posOffset>6985</wp:posOffset>
                  </wp:positionV>
                  <wp:extent cx="1600200" cy="1998345"/>
                  <wp:effectExtent l="0" t="0" r="0" b="1905"/>
                  <wp:wrapSquare wrapText="bothSides"/>
                  <wp:docPr id="8" name="Picture 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1998345"/>
                          </a:xfrm>
                          <a:prstGeom prst="rect">
                            <a:avLst/>
                          </a:prstGeom>
                          <a:noFill/>
                        </pic:spPr>
                      </pic:pic>
                    </a:graphicData>
                  </a:graphic>
                  <wp14:sizeRelH relativeFrom="page">
                    <wp14:pctWidth>0</wp14:pctWidth>
                  </wp14:sizeRelH>
                  <wp14:sizeRelV relativeFrom="page">
                    <wp14:pctHeight>0</wp14:pctHeight>
                  </wp14:sizeRelV>
                </wp:anchor>
              </w:drawing>
            </w:r>
            <w:r>
              <w:t>Attorney Neal Even Spielman</w:t>
            </w:r>
          </w:p>
          <w:p w14:paraId="059BC567" w14:textId="77777777" w:rsidR="00000000" w:rsidRDefault="00703058">
            <w:pPr>
              <w:pStyle w:val="NoSpacing"/>
              <w:framePr w:hSpace="0" w:wrap="auto" w:vAnchor="margin" w:yAlign="inline"/>
              <w:widowControl w:val="0"/>
            </w:pPr>
            <w:r>
              <w:t>Bar Card Number: 00794678</w:t>
            </w:r>
          </w:p>
          <w:p w14:paraId="43F0C401" w14:textId="77777777" w:rsidR="00000000" w:rsidRDefault="00703058">
            <w:pPr>
              <w:pStyle w:val="NoSpacing"/>
              <w:framePr w:hSpace="0" w:wrap="auto" w:vAnchor="margin" w:yAlign="inline"/>
              <w:widowControl w:val="0"/>
            </w:pPr>
            <w:r>
              <w:t>TX License Date: 11/03/1995</w:t>
            </w:r>
          </w:p>
          <w:p w14:paraId="069C2E10" w14:textId="77777777" w:rsidR="00000000" w:rsidRDefault="00703058">
            <w:pPr>
              <w:pStyle w:val="NoSpacing"/>
              <w:framePr w:hSpace="0" w:wrap="auto" w:vAnchor="margin" w:yAlign="inline"/>
              <w:widowControl w:val="0"/>
            </w:pPr>
            <w:r>
              <w:t>Griffin and Mathews</w:t>
            </w:r>
          </w:p>
          <w:p w14:paraId="309FCB2B" w14:textId="77777777" w:rsidR="00000000" w:rsidRDefault="00703058">
            <w:pPr>
              <w:pStyle w:val="NoSpacing"/>
              <w:framePr w:hSpace="0" w:wrap="auto" w:vAnchor="margin" w:yAlign="inline"/>
              <w:widowControl w:val="0"/>
            </w:pPr>
            <w:r>
              <w:t>1155 Dairy Ashford Suite 300</w:t>
            </w:r>
          </w:p>
          <w:p w14:paraId="7D4202AA" w14:textId="77777777" w:rsidR="00000000" w:rsidRDefault="00703058">
            <w:pPr>
              <w:pStyle w:val="NoSpacing"/>
              <w:framePr w:hSpace="0" w:wrap="auto" w:vAnchor="margin" w:yAlign="inline"/>
              <w:widowControl w:val="0"/>
            </w:pPr>
            <w:r>
              <w:t>Houston, Texas 77079</w:t>
            </w:r>
          </w:p>
          <w:p w14:paraId="686D2FFD" w14:textId="77777777" w:rsidR="00000000" w:rsidRDefault="00703058">
            <w:pPr>
              <w:pStyle w:val="NoSpacing"/>
              <w:framePr w:hSpace="0" w:wrap="auto" w:vAnchor="margin" w:yAlign="inline"/>
              <w:widowControl w:val="0"/>
            </w:pPr>
            <w:r>
              <w:t>Phone: 281-870-1124</w:t>
            </w:r>
          </w:p>
          <w:p w14:paraId="3FD6DD0B" w14:textId="77777777" w:rsidR="00000000" w:rsidRDefault="00703058">
            <w:pPr>
              <w:pStyle w:val="NoSpacing"/>
              <w:framePr w:hSpace="0" w:wrap="auto" w:vAnchor="margin" w:yAlign="inline"/>
              <w:widowControl w:val="0"/>
              <w:rPr>
                <w:rFonts w:cs="Calibri"/>
              </w:rPr>
            </w:pPr>
            <w:r>
              <w:t>Fax: 281-870-1647</w:t>
            </w:r>
          </w:p>
        </w:tc>
        <w:tc>
          <w:tcPr>
            <w:tcW w:w="6377" w:type="dxa"/>
            <w:tcBorders>
              <w:top w:val="single" w:sz="4" w:space="0" w:color="auto"/>
              <w:left w:val="single" w:sz="4" w:space="0" w:color="auto"/>
              <w:bottom w:val="single" w:sz="4" w:space="0" w:color="auto"/>
              <w:right w:val="single" w:sz="4" w:space="0" w:color="auto"/>
            </w:tcBorders>
            <w:hideMark/>
          </w:tcPr>
          <w:p w14:paraId="30EACA8F" w14:textId="77777777" w:rsidR="00000000" w:rsidRDefault="00703058">
            <w:pPr>
              <w:pStyle w:val="NoSpacing"/>
              <w:framePr w:hSpace="0" w:wrap="auto" w:vAnchor="margin" w:yAlign="inline"/>
              <w:widowControl w:val="0"/>
            </w:pPr>
            <w:r>
              <w:drawing>
                <wp:anchor distT="0" distB="0" distL="114300" distR="114300" simplePos="0" relativeHeight="251694080" behindDoc="0" locked="0" layoutInCell="1" allowOverlap="1" wp14:anchorId="1716C381" wp14:editId="5F56EDB9">
                  <wp:simplePos x="0" y="0"/>
                  <wp:positionH relativeFrom="column">
                    <wp:posOffset>-1270</wp:posOffset>
                  </wp:positionH>
                  <wp:positionV relativeFrom="paragraph">
                    <wp:posOffset>80010</wp:posOffset>
                  </wp:positionV>
                  <wp:extent cx="1885950" cy="16256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5950" cy="1625600"/>
                          </a:xfrm>
                          <a:prstGeom prst="rect">
                            <a:avLst/>
                          </a:prstGeom>
                          <a:noFill/>
                        </pic:spPr>
                      </pic:pic>
                    </a:graphicData>
                  </a:graphic>
                  <wp14:sizeRelH relativeFrom="page">
                    <wp14:pctWidth>0</wp14:pctWidth>
                  </wp14:sizeRelH>
                  <wp14:sizeRelV relativeFrom="page">
                    <wp14:pctHeight>0</wp14:pctHeight>
                  </wp14:sizeRelV>
                </wp:anchor>
              </w:drawing>
            </w:r>
            <w:r>
              <w:t>Attorney Corey S. Reed</w:t>
            </w:r>
          </w:p>
          <w:p w14:paraId="3A69A871" w14:textId="77777777" w:rsidR="00000000" w:rsidRDefault="00703058">
            <w:pPr>
              <w:pStyle w:val="NoSpacing"/>
              <w:framePr w:hSpace="0" w:wrap="auto" w:vAnchor="margin" w:yAlign="inline"/>
            </w:pPr>
            <w:r>
              <w:t>Thompson Coe</w:t>
            </w:r>
          </w:p>
          <w:p w14:paraId="026FBE63" w14:textId="77777777" w:rsidR="00000000" w:rsidRDefault="00703058">
            <w:pPr>
              <w:pStyle w:val="NoSpacing"/>
              <w:framePr w:hSpace="0" w:wrap="auto" w:vAnchor="margin" w:yAlign="inline"/>
            </w:pPr>
            <w:r>
              <w:rPr>
                <w:noProof w:val="0"/>
                <w:sz w:val="24"/>
                <w:szCs w:val="24"/>
              </w:rPr>
              <w:t>State Bar No. 24032085</w:t>
            </w:r>
          </w:p>
          <w:p w14:paraId="13E78C72" w14:textId="77777777" w:rsidR="00000000" w:rsidRDefault="00703058">
            <w:pPr>
              <w:pStyle w:val="NoSpacing"/>
              <w:framePr w:hSpace="0" w:wrap="auto" w:vAnchor="margin" w:yAlign="inline"/>
            </w:pPr>
            <w:r>
              <w:t>4400 Post Oak Parkway</w:t>
            </w:r>
          </w:p>
          <w:p w14:paraId="3503B8E6" w14:textId="77777777" w:rsidR="00000000" w:rsidRDefault="00703058">
            <w:pPr>
              <w:pStyle w:val="NoSpacing"/>
              <w:framePr w:hSpace="0" w:wrap="auto" w:vAnchor="margin" w:yAlign="inline"/>
            </w:pPr>
            <w:r>
              <w:t>Suite 1000</w:t>
            </w:r>
          </w:p>
          <w:p w14:paraId="6AD924F8" w14:textId="77777777" w:rsidR="00000000" w:rsidRDefault="00703058">
            <w:pPr>
              <w:pStyle w:val="NoSpacing"/>
              <w:framePr w:hSpace="0" w:wrap="auto" w:vAnchor="margin" w:yAlign="inline"/>
            </w:pPr>
            <w:r>
              <w:t>Houston, TX 77027</w:t>
            </w:r>
          </w:p>
          <w:p w14:paraId="276C40FF" w14:textId="77777777" w:rsidR="00000000" w:rsidRDefault="00703058">
            <w:pPr>
              <w:pStyle w:val="NoSpacing"/>
              <w:framePr w:hSpace="0" w:wrap="auto" w:vAnchor="margin" w:yAlign="inline"/>
            </w:pPr>
            <w:r>
              <w:t>713-403-8213</w:t>
            </w:r>
          </w:p>
          <w:p w14:paraId="7F0636B2" w14:textId="77777777" w:rsidR="00000000" w:rsidRDefault="00703058">
            <w:pPr>
              <w:pStyle w:val="NoSpacing"/>
              <w:framePr w:hSpace="0" w:wrap="auto" w:vAnchor="margin" w:yAlign="inline"/>
            </w:pPr>
            <w:r>
              <w:t>creed@thompsoncoe.com</w:t>
            </w:r>
          </w:p>
        </w:tc>
      </w:tr>
      <w:tr w:rsidR="00000000" w14:paraId="72308AC8" w14:textId="77777777">
        <w:trPr>
          <w:cantSplit/>
        </w:trPr>
        <w:tc>
          <w:tcPr>
            <w:tcW w:w="6573" w:type="dxa"/>
            <w:tcBorders>
              <w:top w:val="single" w:sz="4" w:space="0" w:color="auto"/>
              <w:left w:val="single" w:sz="4" w:space="0" w:color="auto"/>
              <w:bottom w:val="single" w:sz="4" w:space="0" w:color="auto"/>
              <w:right w:val="single" w:sz="4" w:space="0" w:color="auto"/>
            </w:tcBorders>
            <w:hideMark/>
          </w:tcPr>
          <w:p w14:paraId="799B846C" w14:textId="77777777" w:rsidR="00000000" w:rsidRDefault="00703058">
            <w:pPr>
              <w:spacing w:before="0" w:after="0" w:line="240" w:lineRule="auto"/>
              <w:ind w:right="0" w:firstLine="0"/>
              <w:contextualSpacing/>
              <w:jc w:val="left"/>
              <w:rPr>
                <w:rFonts w:cstheme="minorBidi"/>
                <w:noProof w:val="0"/>
              </w:rPr>
            </w:pPr>
            <w:hyperlink r:id="rId20" w:history="1">
              <w:r>
                <w:rPr>
                  <w:rStyle w:val="Hyperlink"/>
                  <w:rFonts w:eastAsia="Times New Roman" w:cstheme="minorBidi"/>
                  <w:b/>
                  <w:bCs/>
                  <w:noProof w:val="0"/>
                </w:rPr>
                <w:t xml:space="preserve">Gregory Albert Lester </w:t>
              </w:r>
            </w:hyperlink>
            <w:r>
              <w:rPr>
                <w:rFonts w:cstheme="minorBidi"/>
                <w:noProof w:val="0"/>
              </w:rPr>
              <w:t>Esq.</w:t>
            </w:r>
          </w:p>
          <w:p w14:paraId="5E3417F9" w14:textId="77777777" w:rsidR="00000000" w:rsidRDefault="00703058">
            <w:pPr>
              <w:spacing w:before="0" w:after="0" w:line="240" w:lineRule="auto"/>
              <w:ind w:right="0" w:firstLine="0"/>
              <w:contextualSpacing/>
              <w:jc w:val="left"/>
              <w:rPr>
                <w:rFonts w:cstheme="minorBidi"/>
                <w:noProof w:val="0"/>
              </w:rPr>
            </w:pPr>
            <w:r>
              <w:rPr>
                <w:rFonts w:cstheme="minorBidi"/>
                <w:noProof w:val="0"/>
              </w:rPr>
              <w:t xml:space="preserve">Eligible to Practice in Texas </w:t>
            </w:r>
          </w:p>
          <w:p w14:paraId="0F88854D" w14:textId="77777777" w:rsidR="00000000" w:rsidRDefault="00703058">
            <w:pPr>
              <w:spacing w:before="0" w:after="0" w:line="240" w:lineRule="auto"/>
              <w:ind w:right="0" w:firstLine="0"/>
              <w:contextualSpacing/>
              <w:jc w:val="left"/>
              <w:rPr>
                <w:rFonts w:cstheme="minorBidi"/>
                <w:noProof w:val="0"/>
              </w:rPr>
            </w:pPr>
            <w:r>
              <w:rPr>
                <w:rFonts w:cstheme="minorBidi"/>
                <w:noProof w:val="0"/>
              </w:rPr>
              <w:t>Bar Card Number: 12235700</w:t>
            </w:r>
            <w:r>
              <w:rPr>
                <w:rFonts w:cstheme="minorBidi"/>
                <w:noProof w:val="0"/>
              </w:rPr>
              <w:br/>
            </w:r>
            <w:r>
              <w:rPr>
                <w:rFonts w:cstheme="minorBidi"/>
                <w:noProof w:val="0"/>
              </w:rPr>
              <w:t xml:space="preserve">TX License Date: 11/02/1984 </w:t>
            </w:r>
          </w:p>
          <w:p w14:paraId="036E8649" w14:textId="77777777" w:rsidR="00000000" w:rsidRDefault="00703058">
            <w:pPr>
              <w:spacing w:before="0" w:after="0" w:line="240" w:lineRule="auto"/>
              <w:ind w:right="0" w:firstLine="0"/>
              <w:contextualSpacing/>
              <w:jc w:val="left"/>
              <w:rPr>
                <w:rFonts w:cstheme="minorBidi"/>
                <w:noProof w:val="0"/>
              </w:rPr>
            </w:pPr>
            <w:r>
              <w:rPr>
                <w:rFonts w:cstheme="minorBidi"/>
                <w:noProof w:val="0"/>
              </w:rPr>
              <w:t xml:space="preserve">Primary Practice Location: </w:t>
            </w:r>
            <w:proofErr w:type="gramStart"/>
            <w:r>
              <w:rPr>
                <w:rFonts w:cstheme="minorBidi"/>
                <w:noProof w:val="0"/>
              </w:rPr>
              <w:t>Houston ,</w:t>
            </w:r>
            <w:proofErr w:type="gramEnd"/>
            <w:r>
              <w:rPr>
                <w:rFonts w:cstheme="minorBidi"/>
                <w:noProof w:val="0"/>
              </w:rPr>
              <w:t xml:space="preserve"> Texas </w:t>
            </w:r>
          </w:p>
          <w:p w14:paraId="4222518C" w14:textId="77777777" w:rsidR="00000000" w:rsidRDefault="00703058">
            <w:pPr>
              <w:spacing w:before="0" w:after="0" w:line="240" w:lineRule="auto"/>
              <w:ind w:right="0" w:firstLine="0"/>
              <w:contextualSpacing/>
              <w:jc w:val="left"/>
              <w:rPr>
                <w:rFonts w:cstheme="minorBidi"/>
                <w:noProof w:val="0"/>
              </w:rPr>
            </w:pPr>
            <w:r>
              <w:rPr>
                <w:rFonts w:cstheme="minorBidi"/>
                <w:noProof w:val="0"/>
              </w:rPr>
              <w:t>PO Box 79766</w:t>
            </w:r>
            <w:r>
              <w:rPr>
                <w:rFonts w:cstheme="minorBidi"/>
                <w:noProof w:val="0"/>
              </w:rPr>
              <w:br/>
              <w:t xml:space="preserve">Houston, TX 77279-9766 </w:t>
            </w:r>
          </w:p>
          <w:p w14:paraId="399F3616" w14:textId="77777777" w:rsidR="00000000" w:rsidRDefault="00703058">
            <w:pPr>
              <w:spacing w:before="0" w:after="0" w:line="240" w:lineRule="auto"/>
              <w:ind w:right="0" w:firstLine="0"/>
              <w:contextualSpacing/>
              <w:jc w:val="left"/>
              <w:rPr>
                <w:rFonts w:cstheme="minorBidi"/>
                <w:noProof w:val="0"/>
              </w:rPr>
            </w:pPr>
            <w:r>
              <w:rPr>
                <w:rFonts w:cstheme="minorBidi"/>
                <w:b/>
                <w:bCs/>
                <w:noProof w:val="0"/>
              </w:rPr>
              <w:t xml:space="preserve">Practice Areas: </w:t>
            </w:r>
            <w:r>
              <w:rPr>
                <w:rFonts w:cstheme="minorBidi"/>
                <w:noProof w:val="0"/>
              </w:rPr>
              <w:t xml:space="preserve">Wills-Trusts-Probate </w:t>
            </w:r>
          </w:p>
        </w:tc>
        <w:tc>
          <w:tcPr>
            <w:tcW w:w="6377" w:type="dxa"/>
            <w:tcBorders>
              <w:top w:val="single" w:sz="4" w:space="0" w:color="auto"/>
              <w:left w:val="single" w:sz="4" w:space="0" w:color="auto"/>
              <w:bottom w:val="single" w:sz="4" w:space="0" w:color="auto"/>
              <w:right w:val="single" w:sz="4" w:space="0" w:color="auto"/>
            </w:tcBorders>
            <w:hideMark/>
          </w:tcPr>
          <w:p w14:paraId="2BEAB5BF" w14:textId="77777777" w:rsidR="00000000" w:rsidRDefault="00703058">
            <w:pPr>
              <w:pStyle w:val="NoSpacing"/>
              <w:framePr w:hSpace="0" w:wrap="auto" w:vAnchor="margin" w:yAlign="inline"/>
              <w:widowControl w:val="0"/>
            </w:pPr>
            <w:r>
              <w:drawing>
                <wp:anchor distT="0" distB="0" distL="114300" distR="114300" simplePos="0" relativeHeight="251689984" behindDoc="0" locked="0" layoutInCell="1" allowOverlap="1" wp14:anchorId="24EAC573" wp14:editId="5DA58E30">
                  <wp:simplePos x="0" y="0"/>
                  <wp:positionH relativeFrom="column">
                    <wp:posOffset>-635</wp:posOffset>
                  </wp:positionH>
                  <wp:positionV relativeFrom="paragraph">
                    <wp:posOffset>78740</wp:posOffset>
                  </wp:positionV>
                  <wp:extent cx="1905000" cy="1905000"/>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pic:spPr>
                      </pic:pic>
                    </a:graphicData>
                  </a:graphic>
                  <wp14:sizeRelH relativeFrom="page">
                    <wp14:pctWidth>0</wp14:pctWidth>
                  </wp14:sizeRelH>
                  <wp14:sizeRelV relativeFrom="page">
                    <wp14:pctHeight>0</wp14:pctHeight>
                  </wp14:sizeRelV>
                </wp:anchor>
              </w:drawing>
            </w:r>
            <w:r>
              <w:t>Anita Brunsting</w:t>
            </w:r>
          </w:p>
          <w:p w14:paraId="664B2C5D" w14:textId="77777777" w:rsidR="00000000" w:rsidRDefault="00703058">
            <w:pPr>
              <w:pStyle w:val="NoSpacing"/>
              <w:framePr w:hSpace="0" w:wrap="auto" w:vAnchor="margin" w:yAlign="inline"/>
              <w:widowControl w:val="0"/>
            </w:pPr>
            <w:r>
              <w:t xml:space="preserve">Wannabe Family </w:t>
            </w:r>
          </w:p>
          <w:p w14:paraId="6CF1CCAA" w14:textId="77777777" w:rsidR="00000000" w:rsidRDefault="00703058">
            <w:pPr>
              <w:pStyle w:val="NoSpacing"/>
              <w:framePr w:hSpace="0" w:wrap="auto" w:vAnchor="margin" w:yAlign="inline"/>
              <w:widowControl w:val="0"/>
            </w:pPr>
            <w:r>
              <w:t>Inheritance Thief</w:t>
            </w:r>
          </w:p>
          <w:p w14:paraId="134590A5" w14:textId="77777777" w:rsidR="00000000" w:rsidRDefault="00703058">
            <w:pPr>
              <w:pStyle w:val="NoSpacing"/>
              <w:framePr w:hSpace="0" w:wrap="auto" w:vAnchor="margin" w:yAlign="inline"/>
              <w:widowControl w:val="0"/>
            </w:pPr>
            <w:r>
              <w:t xml:space="preserve">203 Bloomingdale Circle </w:t>
            </w:r>
          </w:p>
          <w:p w14:paraId="6ECAB938" w14:textId="77777777" w:rsidR="00000000" w:rsidRDefault="00703058">
            <w:pPr>
              <w:ind w:firstLine="0"/>
              <w:rPr>
                <w:rFonts w:cstheme="minorBidi"/>
              </w:rPr>
            </w:pPr>
            <w:r>
              <w:rPr>
                <w:rFonts w:cstheme="minorBidi"/>
              </w:rPr>
              <w:t>Victoria, Texas 77904</w:t>
            </w:r>
          </w:p>
        </w:tc>
      </w:tr>
      <w:tr w:rsidR="00000000" w14:paraId="09E42B34" w14:textId="77777777">
        <w:trPr>
          <w:cantSplit/>
        </w:trPr>
        <w:tc>
          <w:tcPr>
            <w:tcW w:w="6573" w:type="dxa"/>
            <w:tcBorders>
              <w:top w:val="single" w:sz="4" w:space="0" w:color="auto"/>
              <w:left w:val="single" w:sz="4" w:space="0" w:color="auto"/>
              <w:bottom w:val="single" w:sz="4" w:space="0" w:color="auto"/>
              <w:right w:val="single" w:sz="4" w:space="0" w:color="auto"/>
            </w:tcBorders>
            <w:hideMark/>
          </w:tcPr>
          <w:p w14:paraId="4B491B28" w14:textId="77777777" w:rsidR="00000000" w:rsidRDefault="00703058">
            <w:pPr>
              <w:spacing w:before="0" w:after="0" w:line="240" w:lineRule="auto"/>
              <w:ind w:firstLine="0"/>
              <w:contextualSpacing/>
              <w:outlineLvl w:val="2"/>
              <w:rPr>
                <w:rFonts w:eastAsiaTheme="majorEastAsia" w:cstheme="majorBidi"/>
                <w:noProof w:val="0"/>
              </w:rPr>
            </w:pPr>
            <w:r>
              <w:drawing>
                <wp:anchor distT="0" distB="0" distL="114300" distR="114300" simplePos="0" relativeHeight="251691008" behindDoc="0" locked="0" layoutInCell="1" allowOverlap="1" wp14:anchorId="334CB73B" wp14:editId="211E2C93">
                  <wp:simplePos x="0" y="0"/>
                  <wp:positionH relativeFrom="column">
                    <wp:posOffset>-68580</wp:posOffset>
                  </wp:positionH>
                  <wp:positionV relativeFrom="paragraph">
                    <wp:posOffset>-1270</wp:posOffset>
                  </wp:positionV>
                  <wp:extent cx="1212850" cy="1828800"/>
                  <wp:effectExtent l="0" t="0" r="635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2850" cy="1828800"/>
                          </a:xfrm>
                          <a:prstGeom prst="rect">
                            <a:avLst/>
                          </a:prstGeom>
                          <a:noFill/>
                        </pic:spPr>
                      </pic:pic>
                    </a:graphicData>
                  </a:graphic>
                  <wp14:sizeRelH relativeFrom="page">
                    <wp14:pctWidth>0</wp14:pctWidth>
                  </wp14:sizeRelH>
                  <wp14:sizeRelV relativeFrom="page">
                    <wp14:pctHeight>0</wp14:pctHeight>
                  </wp14:sizeRelV>
                </wp:anchor>
              </w:drawing>
            </w:r>
            <w:r>
              <w:rPr>
                <w:rFonts w:eastAsiaTheme="majorEastAsia" w:cstheme="majorBidi"/>
              </w:rPr>
              <w:t>Mr. Jaso</w:t>
            </w:r>
            <w:r>
              <w:rPr>
                <w:rFonts w:eastAsiaTheme="majorEastAsia" w:cstheme="majorBidi"/>
              </w:rPr>
              <w:t xml:space="preserve">n Bradley Ostrom </w:t>
            </w:r>
          </w:p>
          <w:p w14:paraId="4EA3BB27" w14:textId="77777777" w:rsidR="00000000" w:rsidRDefault="00703058">
            <w:pPr>
              <w:spacing w:before="0" w:after="0" w:line="240" w:lineRule="auto"/>
              <w:ind w:firstLine="0"/>
              <w:contextualSpacing/>
              <w:outlineLvl w:val="2"/>
              <w:rPr>
                <w:rFonts w:eastAsiaTheme="majorEastAsia" w:cstheme="majorBidi"/>
              </w:rPr>
            </w:pPr>
            <w:r>
              <w:rPr>
                <w:rFonts w:eastAsiaTheme="majorEastAsia" w:cstheme="majorBidi"/>
              </w:rPr>
              <w:t xml:space="preserve">Deceased </w:t>
            </w:r>
          </w:p>
          <w:p w14:paraId="7A4F970A" w14:textId="77777777" w:rsidR="00000000" w:rsidRDefault="00703058">
            <w:pPr>
              <w:spacing w:before="0" w:after="0" w:line="240" w:lineRule="auto"/>
              <w:ind w:firstLine="0"/>
              <w:contextualSpacing/>
              <w:rPr>
                <w:rFonts w:eastAsia="Times New Roman" w:cs="Times New Roman"/>
              </w:rPr>
            </w:pPr>
            <w:r>
              <w:rPr>
                <w:rFonts w:eastAsia="Times New Roman" w:cs="Times New Roman"/>
                <w:b/>
                <w:bCs/>
              </w:rPr>
              <w:t>Bar Card Number:</w:t>
            </w:r>
            <w:r>
              <w:rPr>
                <w:rFonts w:eastAsia="Times New Roman" w:cs="Times New Roman"/>
              </w:rPr>
              <w:t xml:space="preserve"> 24027710</w:t>
            </w:r>
            <w:r>
              <w:rPr>
                <w:rFonts w:eastAsia="Times New Roman" w:cs="Times New Roman"/>
              </w:rPr>
              <w:br/>
            </w:r>
            <w:r>
              <w:rPr>
                <w:rFonts w:eastAsia="Times New Roman" w:cs="Times New Roman"/>
                <w:b/>
                <w:bCs/>
              </w:rPr>
              <w:t>TX License Date:</w:t>
            </w:r>
            <w:r>
              <w:rPr>
                <w:rFonts w:eastAsia="Times New Roman" w:cs="Times New Roman"/>
              </w:rPr>
              <w:t xml:space="preserve"> 11/01/2000 </w:t>
            </w:r>
          </w:p>
          <w:p w14:paraId="5A624C99" w14:textId="77777777" w:rsidR="00000000" w:rsidRDefault="00703058">
            <w:pPr>
              <w:spacing w:before="0" w:after="0" w:line="240" w:lineRule="auto"/>
              <w:ind w:firstLine="0"/>
              <w:contextualSpacing/>
              <w:rPr>
                <w:rFonts w:eastAsia="Times New Roman" w:cs="Times New Roman"/>
              </w:rPr>
            </w:pPr>
            <w:r>
              <w:rPr>
                <w:rFonts w:eastAsia="Times New Roman" w:cs="Times New Roman"/>
                <w:b/>
                <w:bCs/>
              </w:rPr>
              <w:t>Primary Practice Location:</w:t>
            </w:r>
            <w:r>
              <w:rPr>
                <w:rFonts w:eastAsia="Times New Roman" w:cs="Times New Roman"/>
              </w:rPr>
              <w:t xml:space="preserve"> Houston , Texas </w:t>
            </w:r>
          </w:p>
          <w:p w14:paraId="08216E11" w14:textId="77777777" w:rsidR="00000000" w:rsidRDefault="00703058">
            <w:pPr>
              <w:spacing w:before="0" w:after="0" w:line="240" w:lineRule="auto"/>
              <w:ind w:right="0" w:firstLine="0"/>
              <w:contextualSpacing/>
              <w:rPr>
                <w:rFonts w:eastAsia="Times New Roman" w:cs="Times New Roman"/>
                <w:noProof w:val="0"/>
              </w:rPr>
            </w:pPr>
            <w:r>
              <w:rPr>
                <w:rFonts w:eastAsia="Times New Roman" w:cs="Times New Roman"/>
                <w:b/>
                <w:bCs/>
                <w:noProof w:val="0"/>
              </w:rPr>
              <w:t xml:space="preserve">Practice Areas: </w:t>
            </w:r>
            <w:r>
              <w:rPr>
                <w:rFonts w:eastAsia="Times New Roman" w:cs="Times New Roman"/>
                <w:noProof w:val="0"/>
              </w:rPr>
              <w:t xml:space="preserve">Litigation: Commercial, Real Estate, Wills-Trusts-Probate </w:t>
            </w:r>
          </w:p>
          <w:p w14:paraId="0588258C" w14:textId="77777777" w:rsidR="00000000" w:rsidRDefault="00703058">
            <w:pPr>
              <w:spacing w:before="0" w:after="0" w:line="240" w:lineRule="auto"/>
              <w:ind w:firstLine="0"/>
              <w:contextualSpacing/>
              <w:rPr>
                <w:rFonts w:eastAsia="Times New Roman" w:cs="Times New Roman"/>
              </w:rPr>
            </w:pPr>
            <w:r>
              <w:rPr>
                <w:rFonts w:eastAsia="Times New Roman" w:cs="Times New Roman"/>
                <w:b/>
                <w:bCs/>
              </w:rPr>
              <w:t xml:space="preserve">Statutory Profile Last Certified On: </w:t>
            </w:r>
            <w:r>
              <w:rPr>
                <w:rFonts w:eastAsia="Times New Roman" w:cs="Times New Roman"/>
              </w:rPr>
              <w:t xml:space="preserve">01/29/2021 </w:t>
            </w:r>
          </w:p>
        </w:tc>
        <w:tc>
          <w:tcPr>
            <w:tcW w:w="6377" w:type="dxa"/>
            <w:tcBorders>
              <w:top w:val="single" w:sz="4" w:space="0" w:color="auto"/>
              <w:left w:val="single" w:sz="4" w:space="0" w:color="auto"/>
              <w:bottom w:val="single" w:sz="4" w:space="0" w:color="auto"/>
              <w:right w:val="single" w:sz="4" w:space="0" w:color="auto"/>
            </w:tcBorders>
          </w:tcPr>
          <w:p w14:paraId="53151525" w14:textId="77777777" w:rsidR="00000000" w:rsidRDefault="00703058">
            <w:pPr>
              <w:spacing w:before="0" w:after="0" w:line="240" w:lineRule="auto"/>
              <w:ind w:right="0" w:firstLine="0"/>
              <w:contextualSpacing/>
              <w:rPr>
                <w:rFonts w:eastAsiaTheme="minorEastAsia" w:cs="Times New Roman"/>
              </w:rPr>
            </w:pPr>
            <w:r>
              <w:rPr>
                <w:rFonts w:cstheme="minorBidi"/>
              </w:rPr>
              <w:drawing>
                <wp:anchor distT="0" distB="0" distL="114300" distR="114300" simplePos="0" relativeHeight="251692032" behindDoc="0" locked="0" layoutInCell="1" allowOverlap="1" wp14:anchorId="1DA0CA96" wp14:editId="3C88A566">
                  <wp:simplePos x="0" y="0"/>
                  <wp:positionH relativeFrom="column">
                    <wp:posOffset>-54610</wp:posOffset>
                  </wp:positionH>
                  <wp:positionV relativeFrom="paragraph">
                    <wp:posOffset>-1270</wp:posOffset>
                  </wp:positionV>
                  <wp:extent cx="2189480" cy="1750695"/>
                  <wp:effectExtent l="0" t="0" r="1270" b="1905"/>
                  <wp:wrapSquare wrapText="bothSides"/>
                  <wp:docPr id="4" name="Picture 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89480" cy="1750695"/>
                          </a:xfrm>
                          <a:prstGeom prst="rect">
                            <a:avLst/>
                          </a:prstGeom>
                          <a:noFill/>
                        </pic:spPr>
                      </pic:pic>
                    </a:graphicData>
                  </a:graphic>
                  <wp14:sizeRelH relativeFrom="page">
                    <wp14:pctWidth>0</wp14:pctWidth>
                  </wp14:sizeRelH>
                  <wp14:sizeRelV relativeFrom="page">
                    <wp14:pctHeight>0</wp14:pctHeight>
                  </wp14:sizeRelV>
                </wp:anchor>
              </w:drawing>
            </w:r>
            <w:r>
              <w:rPr>
                <w:rFonts w:eastAsiaTheme="minorEastAsia" w:cs="Times New Roman"/>
              </w:rPr>
              <w:t>Christine Riddle Butts</w:t>
            </w:r>
          </w:p>
          <w:p w14:paraId="6AD90980" w14:textId="77777777" w:rsidR="00000000" w:rsidRDefault="00703058">
            <w:pPr>
              <w:spacing w:before="0" w:after="0" w:line="240" w:lineRule="auto"/>
              <w:ind w:right="0" w:firstLine="0"/>
              <w:contextualSpacing/>
              <w:rPr>
                <w:rFonts w:eastAsiaTheme="minorEastAsia" w:cs="Times New Roman"/>
              </w:rPr>
            </w:pPr>
            <w:r>
              <w:rPr>
                <w:rFonts w:eastAsiaTheme="minorEastAsia" w:cs="Times New Roman"/>
              </w:rPr>
              <w:t>Former Judge Harris County Probate Court No. 4</w:t>
            </w:r>
          </w:p>
          <w:p w14:paraId="234E6445" w14:textId="77777777" w:rsidR="00000000" w:rsidRDefault="00703058">
            <w:pPr>
              <w:spacing w:before="0" w:after="0" w:line="240" w:lineRule="auto"/>
              <w:ind w:right="0" w:firstLine="0"/>
              <w:contextualSpacing/>
              <w:rPr>
                <w:rFonts w:eastAsiaTheme="minorEastAsia" w:cs="Times New Roman"/>
              </w:rPr>
            </w:pPr>
            <w:r>
              <w:rPr>
                <w:rFonts w:eastAsiaTheme="minorEastAsia" w:cs="Times New Roman"/>
              </w:rPr>
              <w:t xml:space="preserve"> </w:t>
            </w:r>
            <w:hyperlink r:id="rId25" w:history="1">
              <w:r>
                <w:rPr>
                  <w:rStyle w:val="Hyperlink"/>
                  <w:rFonts w:eastAsiaTheme="minorEastAsia" w:cs="Times New Roman"/>
                </w:rPr>
                <w:t>Riddle &amp; Butts, LLP</w:t>
              </w:r>
            </w:hyperlink>
          </w:p>
          <w:p w14:paraId="11696CC8" w14:textId="77777777" w:rsidR="00000000" w:rsidRDefault="00703058">
            <w:pPr>
              <w:spacing w:before="0" w:after="0" w:line="240" w:lineRule="auto"/>
              <w:ind w:right="0" w:firstLine="0"/>
              <w:contextualSpacing/>
              <w:rPr>
                <w:rFonts w:eastAsiaTheme="minorEastAsia" w:cs="Times New Roman"/>
              </w:rPr>
            </w:pPr>
            <w:r>
              <w:rPr>
                <w:rFonts w:eastAsiaTheme="minorEastAsia" w:cs="Times New Roman"/>
              </w:rPr>
              <w:t>Bar Card Number: 24004222</w:t>
            </w:r>
          </w:p>
          <w:p w14:paraId="147EF399" w14:textId="77777777" w:rsidR="00000000" w:rsidRDefault="00703058">
            <w:pPr>
              <w:spacing w:before="0" w:after="0" w:line="240" w:lineRule="auto"/>
              <w:ind w:right="0" w:firstLine="0"/>
              <w:contextualSpacing/>
              <w:rPr>
                <w:rFonts w:eastAsiaTheme="minorEastAsia" w:cs="Times New Roman"/>
              </w:rPr>
            </w:pPr>
            <w:r>
              <w:rPr>
                <w:rFonts w:eastAsiaTheme="minorEastAsia" w:cs="Times New Roman"/>
              </w:rPr>
              <w:t>TX License Date: 12/11/1</w:t>
            </w:r>
            <w:r>
              <w:rPr>
                <w:rFonts w:eastAsiaTheme="minorEastAsia" w:cs="Times New Roman"/>
              </w:rPr>
              <w:t>997</w:t>
            </w:r>
          </w:p>
          <w:p w14:paraId="6553FE3C" w14:textId="77777777" w:rsidR="00000000" w:rsidRDefault="00703058">
            <w:pPr>
              <w:spacing w:before="0" w:after="0" w:line="240" w:lineRule="auto"/>
              <w:ind w:right="0" w:firstLine="0"/>
              <w:contextualSpacing/>
              <w:rPr>
                <w:rFonts w:eastAsiaTheme="minorEastAsia" w:cs="Times New Roman"/>
              </w:rPr>
            </w:pPr>
            <w:r>
              <w:rPr>
                <w:rFonts w:eastAsiaTheme="minorEastAsia" w:cs="Times New Roman"/>
              </w:rPr>
              <w:t>Primary Practice Location: Houston , Texas</w:t>
            </w:r>
          </w:p>
          <w:p w14:paraId="624D32D7" w14:textId="77777777" w:rsidR="00000000" w:rsidRDefault="00703058">
            <w:pPr>
              <w:spacing w:before="0" w:after="0" w:line="240" w:lineRule="auto"/>
              <w:ind w:right="0" w:firstLine="0"/>
              <w:contextualSpacing/>
              <w:rPr>
                <w:rFonts w:eastAsiaTheme="minorEastAsia" w:cs="Times New Roman"/>
              </w:rPr>
            </w:pPr>
            <w:r>
              <w:rPr>
                <w:rFonts w:eastAsiaTheme="minorEastAsia" w:cs="Times New Roman"/>
              </w:rPr>
              <w:t xml:space="preserve">8777 W Rayford Rd </w:t>
            </w:r>
          </w:p>
          <w:p w14:paraId="46A4434A" w14:textId="77777777" w:rsidR="00000000" w:rsidRDefault="00703058">
            <w:pPr>
              <w:spacing w:before="0" w:after="0" w:line="240" w:lineRule="auto"/>
              <w:ind w:right="0" w:firstLine="0"/>
              <w:contextualSpacing/>
              <w:rPr>
                <w:rFonts w:eastAsiaTheme="minorEastAsia" w:cs="Times New Roman"/>
              </w:rPr>
            </w:pPr>
            <w:r>
              <w:rPr>
                <w:rFonts w:eastAsiaTheme="minorEastAsia" w:cs="Times New Roman"/>
              </w:rPr>
              <w:t>Spring, TX 77389-5187</w:t>
            </w:r>
          </w:p>
          <w:p w14:paraId="26B637EA" w14:textId="77777777" w:rsidR="00000000" w:rsidRDefault="00703058">
            <w:pPr>
              <w:pStyle w:val="NoSpacing"/>
              <w:framePr w:hSpace="0" w:wrap="auto" w:vAnchor="margin" w:yAlign="inline"/>
              <w:widowControl w:val="0"/>
            </w:pPr>
          </w:p>
          <w:p w14:paraId="378BD12B" w14:textId="77777777" w:rsidR="00000000" w:rsidRDefault="00703058">
            <w:pPr>
              <w:pStyle w:val="NoSpacing"/>
              <w:framePr w:hSpace="0" w:wrap="auto" w:vAnchor="margin" w:yAlign="inline"/>
              <w:widowControl w:val="0"/>
            </w:pPr>
          </w:p>
        </w:tc>
      </w:tr>
      <w:tr w:rsidR="00000000" w14:paraId="68ED2A4C" w14:textId="77777777">
        <w:trPr>
          <w:cantSplit/>
        </w:trPr>
        <w:tc>
          <w:tcPr>
            <w:tcW w:w="6573" w:type="dxa"/>
            <w:tcBorders>
              <w:top w:val="single" w:sz="4" w:space="0" w:color="auto"/>
              <w:left w:val="single" w:sz="4" w:space="0" w:color="auto"/>
              <w:bottom w:val="single" w:sz="4" w:space="0" w:color="auto"/>
              <w:right w:val="single" w:sz="4" w:space="0" w:color="auto"/>
            </w:tcBorders>
            <w:hideMark/>
          </w:tcPr>
          <w:p w14:paraId="115A0F6F" w14:textId="77777777" w:rsidR="00000000" w:rsidRDefault="00703058">
            <w:pPr>
              <w:spacing w:before="0" w:after="0" w:line="240" w:lineRule="auto"/>
              <w:ind w:right="0" w:firstLine="0"/>
              <w:contextualSpacing/>
              <w:outlineLvl w:val="2"/>
              <w:rPr>
                <w:rFonts w:eastAsia="Times New Roman" w:cs="Times New Roman"/>
                <w:noProof w:val="0"/>
              </w:rPr>
            </w:pPr>
            <w:r>
              <w:lastRenderedPageBreak/>
              <w:drawing>
                <wp:anchor distT="0" distB="0" distL="114300" distR="114300" simplePos="0" relativeHeight="251693056" behindDoc="0" locked="0" layoutInCell="1" allowOverlap="1" wp14:anchorId="613E09C7" wp14:editId="2409FB53">
                  <wp:simplePos x="0" y="0"/>
                  <wp:positionH relativeFrom="column">
                    <wp:posOffset>0</wp:posOffset>
                  </wp:positionH>
                  <wp:positionV relativeFrom="paragraph">
                    <wp:posOffset>2540</wp:posOffset>
                  </wp:positionV>
                  <wp:extent cx="1758950" cy="175895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58950" cy="175895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noProof w:val="0"/>
              </w:rPr>
              <w:t xml:space="preserve">Ms. L. Darlene Payne Smith </w:t>
            </w:r>
          </w:p>
          <w:p w14:paraId="470EC8E0" w14:textId="77777777" w:rsidR="00000000" w:rsidRDefault="00703058">
            <w:pPr>
              <w:spacing w:before="0" w:after="0" w:line="240" w:lineRule="auto"/>
              <w:ind w:right="0" w:firstLine="0"/>
              <w:contextualSpacing/>
              <w:outlineLvl w:val="2"/>
              <w:rPr>
                <w:rFonts w:eastAsia="Times New Roman" w:cs="Times New Roman"/>
                <w:noProof w:val="0"/>
              </w:rPr>
            </w:pPr>
            <w:r>
              <w:rPr>
                <w:rFonts w:eastAsia="Times New Roman" w:cs="Times New Roman"/>
                <w:noProof w:val="0"/>
              </w:rPr>
              <w:t xml:space="preserve">Eligible to Practice in Texas </w:t>
            </w:r>
          </w:p>
          <w:p w14:paraId="1D3D1205" w14:textId="77777777" w:rsidR="00000000" w:rsidRDefault="00703058">
            <w:pPr>
              <w:spacing w:before="0" w:after="0" w:line="240" w:lineRule="auto"/>
              <w:ind w:right="0" w:firstLine="0"/>
              <w:contextualSpacing/>
              <w:outlineLvl w:val="4"/>
              <w:rPr>
                <w:rFonts w:eastAsia="Times New Roman" w:cs="Times New Roman"/>
                <w:noProof w:val="0"/>
              </w:rPr>
            </w:pPr>
            <w:hyperlink r:id="rId27" w:history="1">
              <w:r>
                <w:rPr>
                  <w:rStyle w:val="Hyperlink"/>
                  <w:rFonts w:eastAsia="Times New Roman" w:cs="Times New Roman"/>
                  <w:noProof w:val="0"/>
                </w:rPr>
                <w:t>Crain, Caton &amp; James, P.C.</w:t>
              </w:r>
            </w:hyperlink>
          </w:p>
          <w:p w14:paraId="4AE8F8B9" w14:textId="77777777" w:rsidR="00000000" w:rsidRDefault="00703058">
            <w:pPr>
              <w:spacing w:before="0" w:after="0" w:line="240" w:lineRule="auto"/>
              <w:ind w:right="0" w:firstLine="0"/>
              <w:contextualSpacing/>
              <w:rPr>
                <w:rFonts w:eastAsia="Times New Roman" w:cs="Times New Roman"/>
                <w:noProof w:val="0"/>
              </w:rPr>
            </w:pPr>
            <w:r>
              <w:rPr>
                <w:rFonts w:eastAsia="Times New Roman" w:cs="Times New Roman"/>
                <w:noProof w:val="0"/>
              </w:rPr>
              <w:t>dsmith@craincaton.com</w:t>
            </w:r>
          </w:p>
          <w:p w14:paraId="669A9FCE" w14:textId="77777777" w:rsidR="00000000" w:rsidRDefault="00703058">
            <w:pPr>
              <w:spacing w:before="0" w:after="0" w:line="240" w:lineRule="auto"/>
              <w:ind w:right="0" w:firstLine="0"/>
              <w:contextualSpacing/>
              <w:rPr>
                <w:rFonts w:eastAsia="Times New Roman" w:cs="Times New Roman"/>
                <w:noProof w:val="0"/>
              </w:rPr>
            </w:pPr>
            <w:r>
              <w:rPr>
                <w:rFonts w:eastAsia="Times New Roman" w:cs="Times New Roman"/>
                <w:noProof w:val="0"/>
              </w:rPr>
              <w:t>Bar Card Number: 18643525</w:t>
            </w:r>
            <w:r>
              <w:rPr>
                <w:rFonts w:eastAsia="Times New Roman" w:cs="Times New Roman"/>
                <w:noProof w:val="0"/>
              </w:rPr>
              <w:br/>
              <w:t xml:space="preserve">TX License Date: 11/06/1987 </w:t>
            </w:r>
          </w:p>
          <w:p w14:paraId="54F1906E" w14:textId="77777777" w:rsidR="00000000" w:rsidRDefault="00703058">
            <w:pPr>
              <w:spacing w:before="0" w:after="0" w:line="240" w:lineRule="auto"/>
              <w:ind w:right="0" w:firstLine="0"/>
              <w:contextualSpacing/>
              <w:rPr>
                <w:rFonts w:eastAsia="Times New Roman" w:cs="Times New Roman"/>
                <w:noProof w:val="0"/>
              </w:rPr>
            </w:pPr>
            <w:r>
              <w:rPr>
                <w:rFonts w:eastAsia="Times New Roman" w:cs="Times New Roman"/>
                <w:noProof w:val="0"/>
              </w:rPr>
              <w:t xml:space="preserve">Primary Practice Location: </w:t>
            </w:r>
            <w:proofErr w:type="gramStart"/>
            <w:r>
              <w:rPr>
                <w:rFonts w:eastAsia="Times New Roman" w:cs="Times New Roman"/>
                <w:noProof w:val="0"/>
              </w:rPr>
              <w:t>Houston ,</w:t>
            </w:r>
            <w:proofErr w:type="gramEnd"/>
            <w:r>
              <w:rPr>
                <w:rFonts w:eastAsia="Times New Roman" w:cs="Times New Roman"/>
                <w:noProof w:val="0"/>
              </w:rPr>
              <w:t xml:space="preserve"> Texas </w:t>
            </w:r>
          </w:p>
          <w:p w14:paraId="523EA9B2" w14:textId="77777777" w:rsidR="00000000" w:rsidRDefault="00703058">
            <w:pPr>
              <w:spacing w:before="0" w:after="0" w:line="240" w:lineRule="auto"/>
              <w:ind w:right="0" w:firstLine="0"/>
              <w:contextualSpacing/>
              <w:rPr>
                <w:rFonts w:eastAsia="Times New Roman" w:cs="Times New Roman"/>
                <w:noProof w:val="0"/>
              </w:rPr>
            </w:pPr>
            <w:r>
              <w:rPr>
                <w:rFonts w:eastAsia="Times New Roman" w:cs="Times New Roman"/>
                <w:noProof w:val="0"/>
              </w:rPr>
              <w:t>1401 McKinney St Ste 1700</w:t>
            </w:r>
            <w:r>
              <w:rPr>
                <w:rFonts w:eastAsia="Times New Roman" w:cs="Times New Roman"/>
                <w:noProof w:val="0"/>
              </w:rPr>
              <w:br/>
              <w:t xml:space="preserve">Houston, TX 77010-4037 </w:t>
            </w:r>
          </w:p>
        </w:tc>
        <w:tc>
          <w:tcPr>
            <w:tcW w:w="6377" w:type="dxa"/>
            <w:tcBorders>
              <w:top w:val="single" w:sz="4" w:space="0" w:color="auto"/>
              <w:left w:val="single" w:sz="4" w:space="0" w:color="auto"/>
              <w:bottom w:val="single" w:sz="4" w:space="0" w:color="auto"/>
              <w:right w:val="single" w:sz="4" w:space="0" w:color="auto"/>
            </w:tcBorders>
          </w:tcPr>
          <w:p w14:paraId="4900F46B" w14:textId="77777777" w:rsidR="00000000" w:rsidRDefault="00703058">
            <w:pPr>
              <w:spacing w:before="0" w:after="0" w:line="240" w:lineRule="auto"/>
              <w:ind w:right="0" w:firstLine="0"/>
              <w:contextualSpacing/>
            </w:pPr>
            <w:r>
              <w:rPr>
                <w:rFonts w:cstheme="minorBidi"/>
              </w:rPr>
              <w:drawing>
                <wp:anchor distT="0" distB="0" distL="114300" distR="114300" simplePos="0" relativeHeight="251695104" behindDoc="0" locked="0" layoutInCell="1" allowOverlap="1" wp14:anchorId="2DFB6570" wp14:editId="206F3BB4">
                  <wp:simplePos x="0" y="0"/>
                  <wp:positionH relativeFrom="column">
                    <wp:posOffset>3175</wp:posOffset>
                  </wp:positionH>
                  <wp:positionV relativeFrom="paragraph">
                    <wp:posOffset>3175</wp:posOffset>
                  </wp:positionV>
                  <wp:extent cx="2124075" cy="21240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pic:spPr>
                      </pic:pic>
                    </a:graphicData>
                  </a:graphic>
                  <wp14:sizeRelH relativeFrom="page">
                    <wp14:pctWidth>0</wp14:pctWidth>
                  </wp14:sizeRelH>
                  <wp14:sizeRelV relativeFrom="page">
                    <wp14:pctHeight>0</wp14:pctHeight>
                  </wp14:sizeRelV>
                </wp:anchor>
              </w:drawing>
            </w:r>
            <w:r>
              <w:t>Clarinda Comstock</w:t>
            </w:r>
          </w:p>
          <w:p w14:paraId="44AD9625" w14:textId="77777777" w:rsidR="00000000" w:rsidRDefault="00703058">
            <w:pPr>
              <w:spacing w:before="0" w:after="0" w:line="240" w:lineRule="auto"/>
              <w:ind w:right="0" w:firstLine="0"/>
              <w:contextualSpacing/>
              <w:jc w:val="left"/>
            </w:pPr>
            <w:r>
              <w:t>Harris County Probate Court No. Four</w:t>
            </w:r>
          </w:p>
          <w:p w14:paraId="5265EB26" w14:textId="77777777" w:rsidR="00000000" w:rsidRDefault="00703058">
            <w:pPr>
              <w:spacing w:before="0" w:after="0" w:line="240" w:lineRule="auto"/>
              <w:ind w:right="0" w:firstLine="0"/>
              <w:contextualSpacing/>
            </w:pPr>
            <w:r>
              <w:t>201 Caroline St Fl 7</w:t>
            </w:r>
          </w:p>
          <w:p w14:paraId="2AFAE540" w14:textId="77777777" w:rsidR="00000000" w:rsidRDefault="00703058">
            <w:pPr>
              <w:spacing w:before="0" w:after="0" w:line="240" w:lineRule="auto"/>
              <w:ind w:right="0" w:firstLine="0"/>
              <w:contextualSpacing/>
            </w:pPr>
            <w:r>
              <w:t>Houston, TX 77002-1901</w:t>
            </w:r>
          </w:p>
          <w:p w14:paraId="763996EC" w14:textId="77777777" w:rsidR="00000000" w:rsidRDefault="00703058">
            <w:pPr>
              <w:spacing w:before="0" w:after="0" w:line="240" w:lineRule="auto"/>
              <w:ind w:right="0" w:firstLine="0"/>
              <w:contextualSpacing/>
              <w:jc w:val="left"/>
            </w:pPr>
            <w:r>
              <w:t>Bar Card Number: 00790492</w:t>
            </w:r>
          </w:p>
          <w:p w14:paraId="1A5FD14D" w14:textId="77777777" w:rsidR="00000000" w:rsidRDefault="00703058">
            <w:pPr>
              <w:spacing w:before="0" w:after="0" w:line="240" w:lineRule="auto"/>
              <w:ind w:right="0" w:firstLine="0"/>
              <w:contextualSpacing/>
              <w:rPr>
                <w:b/>
                <w:bCs/>
              </w:rPr>
            </w:pPr>
          </w:p>
        </w:tc>
      </w:tr>
      <w:tr w:rsidR="00000000" w14:paraId="06294785" w14:textId="77777777">
        <w:trPr>
          <w:cantSplit/>
          <w:trHeight w:val="3365"/>
        </w:trPr>
        <w:tc>
          <w:tcPr>
            <w:tcW w:w="6573" w:type="dxa"/>
            <w:tcBorders>
              <w:top w:val="single" w:sz="4" w:space="0" w:color="auto"/>
              <w:left w:val="single" w:sz="4" w:space="0" w:color="auto"/>
              <w:bottom w:val="single" w:sz="4" w:space="0" w:color="auto"/>
              <w:right w:val="single" w:sz="4" w:space="0" w:color="auto"/>
            </w:tcBorders>
            <w:hideMark/>
          </w:tcPr>
          <w:p w14:paraId="6D7C8FB5" w14:textId="77777777" w:rsidR="00000000" w:rsidRDefault="00703058">
            <w:pPr>
              <w:rPr>
                <w:b/>
                <w:bCs/>
              </w:rPr>
            </w:pPr>
          </w:p>
        </w:tc>
        <w:tc>
          <w:tcPr>
            <w:tcW w:w="6377" w:type="dxa"/>
            <w:tcBorders>
              <w:top w:val="single" w:sz="4" w:space="0" w:color="auto"/>
              <w:left w:val="single" w:sz="4" w:space="0" w:color="auto"/>
              <w:bottom w:val="single" w:sz="4" w:space="0" w:color="auto"/>
              <w:right w:val="single" w:sz="4" w:space="0" w:color="auto"/>
            </w:tcBorders>
          </w:tcPr>
          <w:p w14:paraId="5EA1F462" w14:textId="77777777" w:rsidR="00000000" w:rsidRDefault="00703058">
            <w:pPr>
              <w:spacing w:before="0" w:after="0" w:line="240" w:lineRule="auto"/>
              <w:ind w:right="0" w:firstLine="0"/>
              <w:contextualSpacing/>
              <w:rPr>
                <w:b/>
                <w:bCs/>
              </w:rPr>
            </w:pPr>
          </w:p>
        </w:tc>
      </w:tr>
    </w:tbl>
    <w:p w14:paraId="78A96CB7" w14:textId="77777777" w:rsidR="00000000" w:rsidRDefault="00703058">
      <w:pPr>
        <w:pStyle w:val="Heading1"/>
        <w:keepNext w:val="0"/>
        <w:keepLines w:val="0"/>
        <w:ind w:left="720"/>
        <w:rPr>
          <w:rStyle w:val="SubtleEmphasis"/>
        </w:rPr>
      </w:pPr>
      <w:r>
        <w:rPr>
          <w:rStyle w:val="SubtleEmphasis"/>
          <w:sz w:val="28"/>
          <w:szCs w:val="28"/>
        </w:rPr>
        <w:t>INTRODUCTION</w:t>
      </w:r>
    </w:p>
    <w:p w14:paraId="16BC998D" w14:textId="77777777" w:rsidR="00000000" w:rsidRDefault="00703058">
      <w:pPr>
        <w:rPr>
          <w:rStyle w:val="SubtleEmphasis"/>
          <w:bCs/>
          <w:i w:val="0"/>
        </w:rPr>
      </w:pPr>
      <w:r>
        <w:rPr>
          <w:rStyle w:val="SubtleEmphasis"/>
          <w:bCs/>
          <w:i w:val="0"/>
        </w:rPr>
        <w:t>Every year millions upon millions of dollars are stolen in staged litigation schemes devised with the sole purpose of generating fraudulent bills for alleged attorney’s</w:t>
      </w:r>
      <w:r>
        <w:rPr>
          <w:rStyle w:val="SubtleEmphasis"/>
          <w:bCs/>
          <w:i w:val="0"/>
        </w:rPr>
        <w:t xml:space="preserve"> fees. In the process of such schemes, </w:t>
      </w:r>
      <w:r>
        <w:rPr>
          <w:rStyle w:val="SubtleEmphasis"/>
          <w:bCs/>
          <w:i w:val="0"/>
        </w:rPr>
        <w:lastRenderedPageBreak/>
        <w:t xml:space="preserve">unsuspecting citizens are being pulled into a vortex of litigation posturing, disguised as legitimate court proceedings. The result is financial and emotional devastation for the victims and unjust enrichment for the </w:t>
      </w:r>
      <w:r>
        <w:rPr>
          <w:rStyle w:val="SubtleEmphasis"/>
          <w:bCs/>
          <w:i w:val="0"/>
        </w:rPr>
        <w:t>color-of-law predators. A key battleground, well known for such staged litigation schemes, are the state probate courts. The dot com revolution generated great wealth and we, as a nation, are in the midst of the largest transfer of family generational weal</w:t>
      </w:r>
      <w:r>
        <w:rPr>
          <w:rStyle w:val="SubtleEmphasis"/>
          <w:bCs/>
          <w:i w:val="0"/>
        </w:rPr>
        <w:t xml:space="preserve">th in our history. </w:t>
      </w:r>
    </w:p>
    <w:p w14:paraId="5C5B6D72" w14:textId="77777777" w:rsidR="00000000" w:rsidRDefault="00703058">
      <w:pPr>
        <w:rPr>
          <w:rStyle w:val="SubtleEmphasis"/>
          <w:bCs/>
          <w:i w:val="0"/>
        </w:rPr>
      </w:pPr>
      <w:r>
        <w:rPr>
          <w:rStyle w:val="SubtleEmphasis"/>
          <w:bCs/>
          <w:i w:val="0"/>
        </w:rPr>
        <w:t xml:space="preserve">The objective of the probate mafia is to intercept (steal) those assets using a cookie cutter system in </w:t>
      </w:r>
      <w:r>
        <w:rPr>
          <w:rStyle w:val="SubtleEmphasis"/>
          <w:bCs/>
          <w:i w:val="0"/>
        </w:rPr>
        <w:t>order to minimizing the work while maximizing the return on investment. The problem confronting victims is where to find remedy. In probate, the heirs are held in stasis (hostage) while the attorneys pose and posture, manufacturing unnecesasry attorneys fe</w:t>
      </w:r>
      <w:r>
        <w:rPr>
          <w:rStyle w:val="SubtleEmphasis"/>
          <w:bCs/>
          <w:i w:val="0"/>
        </w:rPr>
        <w:t xml:space="preserve">es. In the end the fees are so large the family has to submit to a settlement agreement (contract) that is always under terms drafted by the predators themselves. </w:t>
      </w:r>
    </w:p>
    <w:p w14:paraId="3A82833C" w14:textId="77777777" w:rsidR="00000000" w:rsidRDefault="00703058">
      <w:pPr>
        <w:rPr>
          <w:rStyle w:val="SubtleEmphasis"/>
          <w:bCs/>
          <w:i w:val="0"/>
        </w:rPr>
      </w:pPr>
      <w:r>
        <w:rPr>
          <w:rStyle w:val="SubtleEmphasis"/>
          <w:bCs/>
          <w:i w:val="0"/>
        </w:rPr>
        <w:t xml:space="preserve">Every estate planning and asset protection services provider will tell you that a pour-over </w:t>
      </w:r>
      <w:r>
        <w:rPr>
          <w:rStyle w:val="SubtleEmphasis"/>
          <w:bCs/>
          <w:i w:val="0"/>
        </w:rPr>
        <w:t>will, with independent administration devising solely to your living trust, will spare you the horror of guardianship protection and spare your children from suffering the well known horrors the probate courts have been known to offer. The legal and equita</w:t>
      </w:r>
      <w:r>
        <w:rPr>
          <w:rStyle w:val="SubtleEmphasis"/>
          <w:bCs/>
          <w:i w:val="0"/>
        </w:rPr>
        <w:t xml:space="preserve">ble theories are generally sound. The problem is in getting judges and attorneys </w:t>
      </w:r>
      <w:r>
        <w:rPr>
          <w:rStyle w:val="SubtleEmphasis"/>
          <w:bCs/>
          <w:i w:val="0"/>
        </w:rPr>
        <w:lastRenderedPageBreak/>
        <w:t xml:space="preserve">to burden themselves with the law, when they are clothed in self-manufactured doctrines of impunity; having everything to gain and nothing to lose. </w:t>
      </w:r>
    </w:p>
    <w:p w14:paraId="3BF15FF3" w14:textId="77777777" w:rsidR="00000000" w:rsidRDefault="00703058">
      <w:pPr>
        <w:pStyle w:val="Heading1"/>
        <w:keepNext w:val="0"/>
        <w:keepLines w:val="0"/>
        <w:widowControl/>
        <w:spacing w:before="120" w:after="240" w:line="240" w:lineRule="auto"/>
        <w:ind w:right="0" w:firstLine="360"/>
        <w:jc w:val="center"/>
      </w:pPr>
      <w:r>
        <w:t>Pleading Civil Racketeerin</w:t>
      </w:r>
      <w:r>
        <w:t>g</w:t>
      </w:r>
    </w:p>
    <w:p w14:paraId="35FACE3C" w14:textId="77777777" w:rsidR="00000000" w:rsidRDefault="00703058">
      <w:r>
        <w:t xml:space="preserve">One does not have a claim for civil RICO without substantial evidence of criminal RICO. The necessary pleading elements for a racketeering claim under 18 U.S.C. § 1962, based on the principles stated in </w:t>
      </w:r>
      <w:r>
        <w:rPr>
          <w:i/>
          <w:iCs/>
        </w:rPr>
        <w:t>Ashcroft v. Iqbal</w:t>
      </w:r>
      <w:r>
        <w:t xml:space="preserve"> </w:t>
      </w:r>
      <w:r>
        <w:rPr>
          <w:rFonts w:eastAsia="Times New Roman" w:cs="Times New Roman"/>
          <w:i/>
          <w:iCs/>
          <w:noProof w:val="0"/>
          <w:szCs w:val="24"/>
        </w:rPr>
        <w:t xml:space="preserve">556 U.S. 662 (2009) • 129 S. Ct. </w:t>
      </w:r>
      <w:r>
        <w:rPr>
          <w:rFonts w:eastAsia="Times New Roman" w:cs="Times New Roman"/>
          <w:i/>
          <w:iCs/>
          <w:noProof w:val="0"/>
          <w:szCs w:val="24"/>
        </w:rPr>
        <w:t>1937 • 173 L. Ed. 2d 868 • 73 Fed. R. Serv. 3d 837</w:t>
      </w:r>
      <w:r>
        <w:t xml:space="preserve"> and </w:t>
      </w:r>
      <w:r>
        <w:rPr>
          <w:i/>
          <w:iCs/>
        </w:rPr>
        <w:t>Bell Atl. Corp. v. Twombly 550 U.S. 544 (2007) • 127 S. Ct. 1955 • 167 L. Ed. 2d 929</w:t>
      </w:r>
      <w:r>
        <w:t>, are as follows:</w:t>
      </w:r>
    </w:p>
    <w:p w14:paraId="71C6AF48" w14:textId="77777777" w:rsidR="00000000" w:rsidRDefault="00703058">
      <w:pPr>
        <w:pStyle w:val="Heading2"/>
        <w:rPr>
          <w:rStyle w:val="SubtleEmphasis"/>
        </w:rPr>
      </w:pPr>
      <w:r>
        <w:rPr>
          <w:rStyle w:val="SubtleEmphasis"/>
        </w:rPr>
        <w:t>Existence of an Enterprise:</w:t>
      </w:r>
    </w:p>
    <w:p w14:paraId="6E3F550A" w14:textId="77777777" w:rsidR="00000000" w:rsidRDefault="00703058">
      <w:pPr>
        <w:widowControl/>
        <w:numPr>
          <w:ilvl w:val="1"/>
          <w:numId w:val="6"/>
        </w:numPr>
        <w:spacing w:before="100" w:beforeAutospacing="1" w:after="100" w:afterAutospacing="1" w:line="240" w:lineRule="auto"/>
        <w:ind w:right="0"/>
        <w:jc w:val="left"/>
        <w:rPr>
          <w:rFonts w:cs="Times New Roman"/>
        </w:rPr>
      </w:pPr>
      <w:r>
        <w:rPr>
          <w:rFonts w:cs="Times New Roman"/>
        </w:rPr>
        <w:t>The plaintiff must allege the existence of an "enterprise" engaged in o</w:t>
      </w:r>
      <w:r>
        <w:rPr>
          <w:rFonts w:cs="Times New Roman"/>
        </w:rPr>
        <w:t>r affecting interstate or foreign commerce.</w:t>
      </w:r>
    </w:p>
    <w:p w14:paraId="0EAE5274" w14:textId="77777777" w:rsidR="00000000" w:rsidRDefault="00703058">
      <w:pPr>
        <w:widowControl/>
        <w:numPr>
          <w:ilvl w:val="1"/>
          <w:numId w:val="6"/>
        </w:numPr>
        <w:spacing w:before="100" w:beforeAutospacing="1" w:after="100" w:afterAutospacing="1" w:line="240" w:lineRule="auto"/>
        <w:ind w:right="0"/>
        <w:jc w:val="left"/>
        <w:rPr>
          <w:rFonts w:cs="Times New Roman"/>
        </w:rPr>
      </w:pPr>
      <w:r>
        <w:rPr>
          <w:rFonts w:cs="Times New Roman"/>
        </w:rPr>
        <w:t>The enterprise must be distinct from the individual defendants.</w:t>
      </w:r>
    </w:p>
    <w:p w14:paraId="509DDC52" w14:textId="77777777" w:rsidR="00000000" w:rsidRDefault="00703058">
      <w:pPr>
        <w:pStyle w:val="Heading2"/>
        <w:rPr>
          <w:rStyle w:val="SubtleEmphasis"/>
        </w:rPr>
      </w:pPr>
      <w:r>
        <w:rPr>
          <w:rStyle w:val="SubtleEmphasis"/>
        </w:rPr>
        <w:t>Pattern of Racketeering Activity:</w:t>
      </w:r>
    </w:p>
    <w:p w14:paraId="531A07C3" w14:textId="77777777" w:rsidR="00000000" w:rsidRDefault="00703058">
      <w:pPr>
        <w:widowControl/>
        <w:numPr>
          <w:ilvl w:val="1"/>
          <w:numId w:val="6"/>
        </w:numPr>
        <w:spacing w:before="100" w:beforeAutospacing="1" w:after="100" w:afterAutospacing="1" w:line="240" w:lineRule="auto"/>
        <w:ind w:right="0"/>
        <w:jc w:val="left"/>
        <w:rPr>
          <w:rFonts w:cs="Times New Roman"/>
        </w:rPr>
      </w:pPr>
      <w:r>
        <w:rPr>
          <w:rFonts w:cs="Times New Roman"/>
        </w:rPr>
        <w:t>The plaintiff must allege a "pattern" of racketeering activity, which includes at least two predicate acts of rack</w:t>
      </w:r>
      <w:r>
        <w:rPr>
          <w:rFonts w:cs="Times New Roman"/>
        </w:rPr>
        <w:t>eteering within a 10-year period.</w:t>
      </w:r>
    </w:p>
    <w:p w14:paraId="28A892BE" w14:textId="77777777" w:rsidR="00000000" w:rsidRDefault="00703058">
      <w:pPr>
        <w:widowControl/>
        <w:numPr>
          <w:ilvl w:val="1"/>
          <w:numId w:val="6"/>
        </w:numPr>
        <w:spacing w:before="100" w:beforeAutospacing="1" w:after="100" w:afterAutospacing="1" w:line="240" w:lineRule="auto"/>
        <w:ind w:right="0"/>
        <w:jc w:val="left"/>
        <w:rPr>
          <w:rFonts w:cs="Times New Roman"/>
        </w:rPr>
      </w:pPr>
      <w:r>
        <w:rPr>
          <w:rFonts w:cs="Times New Roman"/>
        </w:rPr>
        <w:t>Predicate acts must be specified and supported with factual allegations (e.g., mail fraud, wire fraud, etc.).</w:t>
      </w:r>
    </w:p>
    <w:p w14:paraId="661240C3" w14:textId="77777777" w:rsidR="00000000" w:rsidRDefault="00703058">
      <w:pPr>
        <w:pStyle w:val="Heading2"/>
      </w:pPr>
      <w:r>
        <w:t>Connection to the Enterprise:</w:t>
      </w:r>
    </w:p>
    <w:p w14:paraId="654B6C74" w14:textId="77777777" w:rsidR="00000000" w:rsidRDefault="00703058">
      <w:pPr>
        <w:widowControl/>
        <w:numPr>
          <w:ilvl w:val="1"/>
          <w:numId w:val="6"/>
        </w:numPr>
        <w:spacing w:before="100" w:beforeAutospacing="1" w:after="100" w:afterAutospacing="1" w:line="240" w:lineRule="auto"/>
        <w:ind w:right="0"/>
        <w:jc w:val="left"/>
        <w:rPr>
          <w:rFonts w:cs="Times New Roman"/>
        </w:rPr>
      </w:pPr>
      <w:r>
        <w:rPr>
          <w:rFonts w:cs="Times New Roman"/>
        </w:rPr>
        <w:lastRenderedPageBreak/>
        <w:t>The plaintiff must show how the defendant conducted or participated in the conduct</w:t>
      </w:r>
      <w:r>
        <w:rPr>
          <w:rFonts w:cs="Times New Roman"/>
        </w:rPr>
        <w:t xml:space="preserve"> of the enterprise's affairs through the pattern of racketeering activity.</w:t>
      </w:r>
    </w:p>
    <w:p w14:paraId="198C8266" w14:textId="77777777" w:rsidR="00000000" w:rsidRDefault="00703058">
      <w:pPr>
        <w:pStyle w:val="Heading2"/>
      </w:pPr>
      <w:r>
        <w:t>Causal Nexus:</w:t>
      </w:r>
    </w:p>
    <w:p w14:paraId="3E7337E1" w14:textId="77777777" w:rsidR="00000000" w:rsidRDefault="00703058">
      <w:pPr>
        <w:widowControl/>
        <w:numPr>
          <w:ilvl w:val="1"/>
          <w:numId w:val="6"/>
        </w:numPr>
        <w:spacing w:before="100" w:beforeAutospacing="1" w:after="100" w:afterAutospacing="1" w:line="240" w:lineRule="auto"/>
        <w:ind w:right="0"/>
        <w:jc w:val="left"/>
        <w:rPr>
          <w:rFonts w:cs="Times New Roman"/>
        </w:rPr>
      </w:pPr>
      <w:r>
        <w:rPr>
          <w:rFonts w:cs="Times New Roman"/>
        </w:rPr>
        <w:t>The plaintiff must demonstrate a causal connection between the defendant's racketeering activity and the harm suffered.</w:t>
      </w:r>
    </w:p>
    <w:p w14:paraId="65338EC0" w14:textId="77777777" w:rsidR="00000000" w:rsidRDefault="00703058">
      <w:pPr>
        <w:pStyle w:val="Heading3"/>
      </w:pPr>
      <w:r>
        <w:t>Specificity in Allegations:</w:t>
      </w:r>
    </w:p>
    <w:p w14:paraId="05F837B1" w14:textId="77777777" w:rsidR="00000000" w:rsidRDefault="00703058">
      <w:pPr>
        <w:pStyle w:val="Heading2"/>
      </w:pPr>
      <w:r>
        <w:t>Enterprise 18 U.S.C</w:t>
      </w:r>
      <w:r>
        <w:t>. §1962(d)</w:t>
      </w:r>
    </w:p>
    <w:p w14:paraId="1E7D2FE9" w14:textId="77777777" w:rsidR="00000000" w:rsidRDefault="00703058">
      <w:pPr>
        <w:pStyle w:val="Numpara"/>
        <w:numPr>
          <w:ilvl w:val="0"/>
          <w:numId w:val="7"/>
        </w:numPr>
        <w:autoSpaceDE/>
        <w:adjustRightInd/>
        <w:spacing w:before="0"/>
        <w:ind w:left="0" w:firstLine="0"/>
        <w:contextualSpacing/>
      </w:pPr>
      <w:r>
        <w:t xml:space="preserve"> The enterprise complained of herein referred to as the probate mafia involves an association in fact conspiracy among attorneys and other licensed professionals with a design to intercept (steal) family generational asset transfers under the co</w:t>
      </w:r>
      <w:r>
        <w:t xml:space="preserve">lor of probate litigation even when, as here, probate is an action in rem and there is no estate to subject to in rem proceedings, no administrator and no subject matter jurisdiction in the probate court theater as a matter of law. </w:t>
      </w:r>
    </w:p>
    <w:p w14:paraId="43A3B05F" w14:textId="77777777" w:rsidR="00000000" w:rsidRDefault="00703058">
      <w:pPr>
        <w:pStyle w:val="Numpara"/>
        <w:numPr>
          <w:ilvl w:val="0"/>
          <w:numId w:val="7"/>
        </w:numPr>
        <w:autoSpaceDE/>
        <w:adjustRightInd/>
        <w:spacing w:before="0" w:after="0"/>
        <w:ind w:left="0" w:firstLine="0"/>
        <w:contextualSpacing/>
      </w:pPr>
      <w:r>
        <w:t>The rights at issue her</w:t>
      </w:r>
      <w:r>
        <w:t>e are property rights in the corpus of a living trust that vested in the beneficiaries at the passing of the last trust settlor November 11, 2011. The trust contains no assets belonging to a decedent’s estate as held by the unanimous opinion of the Fifth C</w:t>
      </w:r>
      <w:r>
        <w:t xml:space="preserve">ircuit Court of Appeal in Curtis v. Brunsting 704 F.3d 406 (Jan. 9, 2013). Quite to the contrary, the living trust is the sole devisee of the settlors’ probate estate, the estate was under </w:t>
      </w:r>
      <w:r>
        <w:lastRenderedPageBreak/>
        <w:t>“</w:t>
      </w:r>
      <w:r>
        <w:rPr>
          <w:b/>
        </w:rPr>
        <w:t>independent administration</w:t>
      </w:r>
      <w:r>
        <w:t>” and none of the trust beneficiaries ha</w:t>
      </w:r>
      <w:r>
        <w:t>ve standing in the probate of any estate. This action raises questions of law subject to de novo review.</w:t>
      </w:r>
    </w:p>
    <w:p w14:paraId="79B20539" w14:textId="77777777" w:rsidR="00000000" w:rsidRDefault="00703058">
      <w:pPr>
        <w:pStyle w:val="Numpara"/>
        <w:numPr>
          <w:ilvl w:val="0"/>
          <w:numId w:val="7"/>
        </w:numPr>
        <w:autoSpaceDE/>
        <w:adjustRightInd/>
        <w:spacing w:before="0" w:after="0"/>
        <w:ind w:left="0" w:firstLine="0"/>
        <w:contextualSpacing/>
      </w:pPr>
      <w:r>
        <w:t xml:space="preserve">The term "Probate Mafia" does not </w:t>
      </w:r>
      <w:r>
        <w:t>appear to have a formal legal definition or recognition in statutes or case law. However, it is often used colloquially to describe systemic abuse, fraud, or exploitation within the probate process or, as here, in the probate theater of operations in the a</w:t>
      </w:r>
      <w:r>
        <w:t xml:space="preserve">bsence of any pending probate proceeding or subject matter jurisdiction. </w:t>
      </w:r>
    </w:p>
    <w:p w14:paraId="3D7F5E4F" w14:textId="77777777" w:rsidR="00000000" w:rsidRDefault="00703058">
      <w:pPr>
        <w:pStyle w:val="Numpara"/>
        <w:numPr>
          <w:ilvl w:val="0"/>
          <w:numId w:val="7"/>
        </w:numPr>
        <w:autoSpaceDE/>
        <w:adjustRightInd/>
        <w:spacing w:before="0" w:after="0"/>
        <w:ind w:left="0" w:firstLine="0"/>
        <w:contextualSpacing/>
      </w:pPr>
      <w:r>
        <w:t>The term "probate mafia" refers to individuals or groups, such as unethical attorneys, guardians, or other parties, who manipulate probate proceedings for personal gain, often at the</w:t>
      </w:r>
      <w:r>
        <w:t xml:space="preserve"> expense of vulnerable individuals or their estates.</w:t>
      </w:r>
    </w:p>
    <w:p w14:paraId="5A51C740" w14:textId="77777777" w:rsidR="00000000" w:rsidRDefault="00703058">
      <w:pPr>
        <w:pStyle w:val="Numpara"/>
        <w:numPr>
          <w:ilvl w:val="0"/>
          <w:numId w:val="7"/>
        </w:numPr>
        <w:autoSpaceDE/>
        <w:adjustRightInd/>
        <w:spacing w:after="0"/>
        <w:ind w:left="0" w:firstLine="0"/>
        <w:contextualSpacing/>
      </w:pPr>
      <w:r>
        <w:t>However, while “probate” was used as a magic word for the purpose of undermining federal jurisdiction, there was never any subject matter jurisdiction in the probate court regarding this living trust nor</w:t>
      </w:r>
      <w:r>
        <w:t xml:space="preserve"> has there been any probate claims litigated in the probate theater as </w:t>
      </w:r>
      <w:hyperlink r:id="rId29" w:history="1">
        <w:r>
          <w:rPr>
            <w:rStyle w:val="Hyperlink"/>
          </w:rPr>
          <w:t>no in rem claims were ever filed aga</w:t>
        </w:r>
        <w:r>
          <w:rPr>
            <w:rStyle w:val="Hyperlink"/>
          </w:rPr>
          <w:t>inst an estate</w:t>
        </w:r>
      </w:hyperlink>
      <w:r>
        <w:t xml:space="preserve"> in this case. </w:t>
      </w:r>
    </w:p>
    <w:p w14:paraId="0E55D831" w14:textId="77777777" w:rsidR="00000000" w:rsidRDefault="00703058">
      <w:pPr>
        <w:pStyle w:val="Heading2"/>
        <w:ind w:left="1080"/>
      </w:pPr>
      <w:r>
        <w:t xml:space="preserve">Pattern  </w:t>
      </w:r>
    </w:p>
    <w:p w14:paraId="0E537F89" w14:textId="77777777" w:rsidR="00000000" w:rsidRDefault="00703058">
      <w:pPr>
        <w:numPr>
          <w:ilvl w:val="0"/>
          <w:numId w:val="8"/>
        </w:numPr>
        <w:ind w:left="0" w:firstLine="0"/>
        <w:contextualSpacing/>
      </w:pPr>
      <w:r>
        <w:t xml:space="preserve">This enterprise begins with an estate planning bait and switch that creates a controversy that is followed by the exploitation of that controversy by the probate mafia acolytes thereafter. </w:t>
      </w:r>
    </w:p>
    <w:p w14:paraId="345052EF" w14:textId="77777777" w:rsidR="00000000" w:rsidRDefault="00703058">
      <w:pPr>
        <w:pStyle w:val="Numpara"/>
        <w:numPr>
          <w:ilvl w:val="0"/>
          <w:numId w:val="7"/>
        </w:numPr>
        <w:autoSpaceDE/>
        <w:adjustRightInd/>
        <w:spacing w:before="0"/>
        <w:ind w:left="0" w:firstLine="0"/>
        <w:contextualSpacing/>
      </w:pPr>
      <w:r>
        <w:lastRenderedPageBreak/>
        <w:t xml:space="preserve">The number and variety of </w:t>
      </w:r>
      <w:r>
        <w:t>colorable events in this case are impressive. It begins with illicit changes to irrevocable trusts insidiously implemented in the wake of each “triggering” family crisis event or “Hurrah” as these events are referred to in long con confidence games. This c</w:t>
      </w:r>
      <w:r>
        <w:t>onflict engineering frontend is followed by attorney collusion and exploitation on the backend in a conspiracy to milk the family money cow, in this case to loot a living trust.</w:t>
      </w:r>
    </w:p>
    <w:p w14:paraId="088A5C17" w14:textId="77777777" w:rsidR="00000000" w:rsidRDefault="00703058">
      <w:pPr>
        <w:pStyle w:val="Numpara"/>
        <w:numPr>
          <w:ilvl w:val="0"/>
          <w:numId w:val="7"/>
        </w:numPr>
        <w:autoSpaceDE/>
        <w:adjustRightInd/>
        <w:spacing w:before="0" w:after="0"/>
        <w:ind w:left="0" w:firstLine="0"/>
        <w:contextualSpacing/>
      </w:pPr>
      <w:r>
        <w:t>The pattern is well established as it is described in an article posted on the</w:t>
      </w:r>
      <w:r>
        <w:t xml:space="preserve"> web in 2015 titled “How to Steal your Family Inheritance” [Ex 0-1] and even mentioned by United States Judge Kenneth Hoyt Jr. at the hearing on Plaintiff Candace Curtis request for injunction. </w:t>
      </w:r>
    </w:p>
    <w:p w14:paraId="3EFB99D9" w14:textId="77777777" w:rsidR="00000000" w:rsidRDefault="00703058">
      <w:pPr>
        <w:pStyle w:val="Numpara"/>
        <w:numPr>
          <w:ilvl w:val="0"/>
          <w:numId w:val="7"/>
        </w:numPr>
        <w:autoSpaceDE/>
        <w:adjustRightInd/>
        <w:spacing w:after="0"/>
        <w:ind w:left="0" w:firstLine="0"/>
        <w:contextualSpacing/>
      </w:pPr>
      <w:r>
        <w:t>This two-part story illustrates a classic pattern as noted an</w:t>
      </w:r>
      <w:r>
        <w:t>d the design that emerges perfectly fits the description of a long con.</w:t>
      </w:r>
    </w:p>
    <w:p w14:paraId="5549FC36" w14:textId="77777777" w:rsidR="00000000" w:rsidRDefault="00703058">
      <w:pPr>
        <w:pStyle w:val="Quote"/>
        <w:framePr w:wrap="around"/>
      </w:pPr>
      <w:r>
        <w:t>Long Con: noun slang</w:t>
      </w:r>
    </w:p>
    <w:p w14:paraId="125D906B" w14:textId="77777777" w:rsidR="00000000" w:rsidRDefault="00703058">
      <w:pPr>
        <w:pStyle w:val="Quote"/>
        <w:framePr w:wrap="around"/>
      </w:pPr>
      <w:r>
        <w:t>“An elaborate confidence game that develops in several stages over an extended period of time wherein the con man or swindler gains the victim’s trust, often bypas</w:t>
      </w:r>
      <w:r>
        <w:t>sing small profits with the goal of reaping a much larger payout in the final maneuver: The key to pulling off a long con is giving your marks the illusion of control while you and your team manipulate their choices.”</w:t>
      </w:r>
    </w:p>
    <w:p w14:paraId="2A7A0275" w14:textId="77777777" w:rsidR="00000000" w:rsidRDefault="00703058">
      <w:pPr>
        <w:pStyle w:val="Heading2"/>
        <w:ind w:left="1080"/>
      </w:pPr>
      <w:r>
        <w:t>Predicate Acts and Common Law Torts Al</w:t>
      </w:r>
      <w:r>
        <w:t>leged Herein</w:t>
      </w:r>
    </w:p>
    <w:p w14:paraId="25BD1514" w14:textId="77777777" w:rsidR="00000000" w:rsidRDefault="00703058">
      <w:pPr>
        <w:numPr>
          <w:ilvl w:val="0"/>
          <w:numId w:val="9"/>
        </w:numPr>
        <w:ind w:left="0" w:firstLine="0"/>
        <w:contextualSpacing/>
      </w:pPr>
      <w:r>
        <w:t xml:space="preserve">In addition to alleging the existence of an "enterprise" engaged in or affecting interstate or foreign </w:t>
      </w:r>
      <w:r>
        <w:lastRenderedPageBreak/>
        <w:t>commerce that is distinct from the individual defendants, Plaintiff alleges a "pattern" of racketeering activity, which includes at least tw</w:t>
      </w:r>
      <w:r>
        <w:t>o predicate acts within a 10-year period that are specific and supported with factual allegations. The elements of the predicate act crimes alleged and listed herein will be expounded upon later and include, but may not be limited to violations of:</w:t>
      </w:r>
    </w:p>
    <w:p w14:paraId="61DE5A2F" w14:textId="77777777" w:rsidR="00000000" w:rsidRDefault="00703058">
      <w:pPr>
        <w:pStyle w:val="Heading2"/>
      </w:pPr>
      <w:bookmarkStart w:id="0" w:name="_Hlk195002303"/>
      <w:r>
        <w:t>18 U.S.</w:t>
      </w:r>
      <w:r>
        <w:t>C. § 1503 Obstruction of Justice.</w:t>
      </w:r>
    </w:p>
    <w:p w14:paraId="2A36A693" w14:textId="77777777" w:rsidR="00000000" w:rsidRDefault="00703058">
      <w:pPr>
        <w:pStyle w:val="Numpara"/>
        <w:numPr>
          <w:ilvl w:val="0"/>
          <w:numId w:val="7"/>
        </w:numPr>
        <w:autoSpaceDE/>
        <w:adjustRightInd/>
        <w:spacing w:before="0"/>
        <w:ind w:left="0" w:firstLine="0"/>
        <w:contextualSpacing/>
      </w:pPr>
      <w:r>
        <w:t>This statute addresses actions that obstruct the due administration of justice, including influencing jurors or court officers. The elements are:</w:t>
      </w:r>
    </w:p>
    <w:p w14:paraId="0DA125A7" w14:textId="77777777" w:rsidR="00000000" w:rsidRDefault="00703058">
      <w:pPr>
        <w:pStyle w:val="Numpara"/>
        <w:numPr>
          <w:ilvl w:val="1"/>
          <w:numId w:val="7"/>
        </w:numPr>
        <w:autoSpaceDE/>
        <w:adjustRightInd/>
        <w:spacing w:before="0" w:after="0"/>
        <w:contextualSpacing/>
      </w:pPr>
      <w:r>
        <w:rPr>
          <w:b/>
          <w:bCs/>
        </w:rPr>
        <w:t>Corrupt Act</w:t>
      </w:r>
      <w:r>
        <w:t>: The defendant must have engaged in a corrupt act, such as threa</w:t>
      </w:r>
      <w:r>
        <w:t>ts, coercion, or other obstructive conduct.</w:t>
      </w:r>
    </w:p>
    <w:p w14:paraId="7A2E3FBF" w14:textId="77777777" w:rsidR="00000000" w:rsidRDefault="00703058">
      <w:pPr>
        <w:pStyle w:val="Numpara"/>
        <w:numPr>
          <w:ilvl w:val="1"/>
          <w:numId w:val="7"/>
        </w:numPr>
        <w:autoSpaceDE/>
        <w:adjustRightInd/>
        <w:spacing w:before="0" w:after="0"/>
        <w:contextualSpacing/>
      </w:pPr>
      <w:r>
        <w:rPr>
          <w:b/>
          <w:bCs/>
        </w:rPr>
        <w:t>Intent</w:t>
      </w:r>
      <w:r>
        <w:t>: The act must be done with the intent to obstruct, influence, or impede the due administration of justice.</w:t>
      </w:r>
    </w:p>
    <w:p w14:paraId="5B50788C" w14:textId="77777777" w:rsidR="00000000" w:rsidRDefault="00703058">
      <w:pPr>
        <w:pStyle w:val="Numpara"/>
        <w:numPr>
          <w:ilvl w:val="1"/>
          <w:numId w:val="7"/>
        </w:numPr>
        <w:autoSpaceDE/>
        <w:adjustRightInd/>
        <w:spacing w:before="0" w:after="0"/>
        <w:contextualSpacing/>
      </w:pPr>
      <w:r>
        <w:rPr>
          <w:b/>
          <w:bCs/>
        </w:rPr>
        <w:t>Connection to Judicial Proceedings</w:t>
      </w:r>
      <w:r>
        <w:t xml:space="preserve">: The obstructive </w:t>
      </w:r>
      <w:r>
        <w:t>act must relate to an ongoing or foreseeable judicial proceeding.</w:t>
      </w:r>
    </w:p>
    <w:p w14:paraId="392D7DEF" w14:textId="77777777" w:rsidR="00000000" w:rsidRDefault="00703058">
      <w:pPr>
        <w:pStyle w:val="Numpara"/>
        <w:numPr>
          <w:ilvl w:val="1"/>
          <w:numId w:val="7"/>
        </w:numPr>
        <w:autoSpaceDE/>
        <w:adjustRightInd/>
        <w:spacing w:before="0" w:after="0"/>
        <w:contextualSpacing/>
      </w:pPr>
      <w:r>
        <w:rPr>
          <w:b/>
          <w:bCs/>
        </w:rPr>
        <w:t>Materiality (if applicable)</w:t>
      </w:r>
      <w:r>
        <w:t xml:space="preserve">: If the act involves false statements, the falsehood must be material to </w:t>
      </w:r>
      <w:r>
        <w:lastRenderedPageBreak/>
        <w:t>the proceeding.</w:t>
      </w:r>
    </w:p>
    <w:p w14:paraId="214502F5" w14:textId="77777777" w:rsidR="00000000" w:rsidRDefault="00703058">
      <w:pPr>
        <w:pStyle w:val="Numpara"/>
        <w:numPr>
          <w:ilvl w:val="0"/>
          <w:numId w:val="0"/>
        </w:numPr>
      </w:pPr>
    </w:p>
    <w:p w14:paraId="6F8F2F44" w14:textId="77777777" w:rsidR="00000000" w:rsidRDefault="00703058">
      <w:pPr>
        <w:pStyle w:val="Heading1"/>
      </w:pPr>
      <w:r>
        <w:t>18 U.</w:t>
      </w:r>
      <w:r>
        <w:rPr>
          <w:spacing w:val="1"/>
        </w:rPr>
        <w:t>S</w:t>
      </w:r>
      <w:r>
        <w:t>.</w:t>
      </w:r>
      <w:r>
        <w:rPr>
          <w:spacing w:val="1"/>
        </w:rPr>
        <w:t>C</w:t>
      </w:r>
      <w:r>
        <w:t xml:space="preserve">. § 1962 </w:t>
      </w:r>
      <w:r>
        <w:rPr>
          <w:spacing w:val="-1"/>
        </w:rPr>
        <w:t>(c</w:t>
      </w:r>
      <w:r>
        <w:t>)</w:t>
      </w:r>
      <w:r>
        <w:rPr>
          <w:spacing w:val="-1"/>
        </w:rPr>
        <w:t xml:space="preserve"> </w:t>
      </w:r>
      <w:r>
        <w:t>Viol</w:t>
      </w:r>
      <w:r>
        <w:rPr>
          <w:spacing w:val="-1"/>
        </w:rPr>
        <w:t>a</w:t>
      </w:r>
      <w:r>
        <w:t>tions of</w:t>
      </w:r>
      <w:r>
        <w:rPr>
          <w:spacing w:val="-1"/>
        </w:rPr>
        <w:t xml:space="preserve"> </w:t>
      </w:r>
      <w:r>
        <w:t>the</w:t>
      </w:r>
      <w:r>
        <w:rPr>
          <w:spacing w:val="-1"/>
        </w:rPr>
        <w:t xml:space="preserve"> </w:t>
      </w:r>
      <w:r>
        <w:rPr>
          <w:spacing w:val="1"/>
        </w:rPr>
        <w:t>R</w:t>
      </w:r>
      <w:r>
        <w:rPr>
          <w:spacing w:val="-1"/>
        </w:rPr>
        <w:t>ac</w:t>
      </w:r>
      <w:r>
        <w:t>k</w:t>
      </w:r>
      <w:r>
        <w:rPr>
          <w:spacing w:val="-1"/>
        </w:rPr>
        <w:t>e</w:t>
      </w:r>
      <w:r>
        <w:t>t</w:t>
      </w:r>
      <w:r>
        <w:rPr>
          <w:spacing w:val="1"/>
        </w:rPr>
        <w:t>e</w:t>
      </w:r>
      <w:r>
        <w:rPr>
          <w:spacing w:val="-1"/>
        </w:rPr>
        <w:t>e</w:t>
      </w:r>
      <w:r>
        <w:t>r</w:t>
      </w:r>
      <w:r>
        <w:rPr>
          <w:spacing w:val="2"/>
        </w:rPr>
        <w:t xml:space="preserve"> </w:t>
      </w:r>
      <w:r>
        <w:rPr>
          <w:spacing w:val="-1"/>
        </w:rPr>
        <w:t>I</w:t>
      </w:r>
      <w:r>
        <w:t>n</w:t>
      </w:r>
      <w:r>
        <w:rPr>
          <w:spacing w:val="-1"/>
        </w:rPr>
        <w:t>f</w:t>
      </w:r>
      <w:r>
        <w:t>lu</w:t>
      </w:r>
      <w:r>
        <w:rPr>
          <w:spacing w:val="-1"/>
        </w:rPr>
        <w:t>e</w:t>
      </w:r>
      <w:r>
        <w:t>n</w:t>
      </w:r>
      <w:r>
        <w:rPr>
          <w:spacing w:val="-1"/>
        </w:rPr>
        <w:t>ce</w:t>
      </w:r>
      <w:r>
        <w:t xml:space="preserve">d </w:t>
      </w:r>
      <w:r>
        <w:rPr>
          <w:spacing w:val="1"/>
        </w:rPr>
        <w:t>C</w:t>
      </w:r>
      <w:r>
        <w:t>o</w:t>
      </w:r>
      <w:r>
        <w:rPr>
          <w:spacing w:val="2"/>
        </w:rPr>
        <w:t>r</w:t>
      </w:r>
      <w:r>
        <w:rPr>
          <w:spacing w:val="-1"/>
        </w:rPr>
        <w:t>r</w:t>
      </w:r>
      <w:r>
        <w:t>upt O</w:t>
      </w:r>
      <w:r>
        <w:rPr>
          <w:spacing w:val="2"/>
        </w:rPr>
        <w:t>r</w:t>
      </w:r>
      <w:r>
        <w:rPr>
          <w:spacing w:val="-2"/>
        </w:rPr>
        <w:t>g</w:t>
      </w:r>
      <w:r>
        <w:rPr>
          <w:spacing w:val="-1"/>
        </w:rPr>
        <w:t>a</w:t>
      </w:r>
      <w:r>
        <w:rPr>
          <w:spacing w:val="2"/>
        </w:rPr>
        <w:t>n</w:t>
      </w:r>
      <w:r>
        <w:t>i</w:t>
      </w:r>
      <w:r>
        <w:rPr>
          <w:spacing w:val="1"/>
        </w:rPr>
        <w:t>z</w:t>
      </w:r>
      <w:r>
        <w:rPr>
          <w:spacing w:val="-1"/>
        </w:rPr>
        <w:t>a</w:t>
      </w:r>
      <w:r>
        <w:t>tion A</w:t>
      </w:r>
      <w:r>
        <w:rPr>
          <w:spacing w:val="-1"/>
        </w:rPr>
        <w:t>c</w:t>
      </w:r>
      <w:r>
        <w:t>t.</w:t>
      </w:r>
    </w:p>
    <w:p w14:paraId="631541BB" w14:textId="77777777" w:rsidR="00000000" w:rsidRDefault="00703058">
      <w:pPr>
        <w:pStyle w:val="Heading1"/>
        <w:rPr>
          <w:spacing w:val="-1"/>
        </w:rPr>
      </w:pPr>
      <w:r>
        <w:t>18 U.</w:t>
      </w:r>
      <w:r>
        <w:rPr>
          <w:spacing w:val="1"/>
        </w:rPr>
        <w:t>S</w:t>
      </w:r>
      <w:r>
        <w:t>.</w:t>
      </w:r>
      <w:r>
        <w:rPr>
          <w:spacing w:val="1"/>
        </w:rPr>
        <w:t>C</w:t>
      </w:r>
      <w:r>
        <w:t xml:space="preserve">. § 1962 </w:t>
      </w:r>
      <w:r>
        <w:rPr>
          <w:spacing w:val="-1"/>
        </w:rPr>
        <w:t>(</w:t>
      </w:r>
      <w:r>
        <w:t>d)</w:t>
      </w:r>
      <w:r>
        <w:rPr>
          <w:spacing w:val="-1"/>
        </w:rPr>
        <w:t xml:space="preserve"> </w:t>
      </w:r>
      <w:r>
        <w:rPr>
          <w:spacing w:val="1"/>
        </w:rPr>
        <w:t>C</w:t>
      </w:r>
      <w:r>
        <w:t>onspi</w:t>
      </w:r>
      <w:r>
        <w:rPr>
          <w:spacing w:val="-1"/>
        </w:rPr>
        <w:t>ra</w:t>
      </w:r>
      <w:r>
        <w:rPr>
          <w:spacing w:val="4"/>
        </w:rPr>
        <w:t>c</w:t>
      </w:r>
      <w:r>
        <w:t>y</w:t>
      </w:r>
      <w:r>
        <w:rPr>
          <w:spacing w:val="-5"/>
        </w:rPr>
        <w:t xml:space="preserve"> </w:t>
      </w:r>
      <w:r>
        <w:t>to Viol</w:t>
      </w:r>
      <w:r>
        <w:rPr>
          <w:spacing w:val="-1"/>
        </w:rPr>
        <w:t>a</w:t>
      </w:r>
      <w:r>
        <w:t>te</w:t>
      </w:r>
      <w:r>
        <w:rPr>
          <w:spacing w:val="-1"/>
        </w:rPr>
        <w:t xml:space="preserve"> </w:t>
      </w:r>
      <w:r>
        <w:t>18 U.</w:t>
      </w:r>
      <w:r>
        <w:rPr>
          <w:spacing w:val="1"/>
        </w:rPr>
        <w:t>S</w:t>
      </w:r>
      <w:r>
        <w:rPr>
          <w:spacing w:val="2"/>
        </w:rPr>
        <w:t>.</w:t>
      </w:r>
      <w:r>
        <w:rPr>
          <w:spacing w:val="1"/>
        </w:rPr>
        <w:t>C</w:t>
      </w:r>
      <w:r>
        <w:t xml:space="preserve">. §1962 </w:t>
      </w:r>
      <w:r>
        <w:rPr>
          <w:spacing w:val="-1"/>
        </w:rPr>
        <w:t>(c).</w:t>
      </w:r>
    </w:p>
    <w:p w14:paraId="418790DB" w14:textId="77777777" w:rsidR="00000000" w:rsidRDefault="00703058">
      <w:pPr>
        <w:pStyle w:val="Numpara"/>
        <w:numPr>
          <w:ilvl w:val="0"/>
          <w:numId w:val="0"/>
        </w:numPr>
        <w:autoSpaceDE/>
        <w:adjustRightInd/>
      </w:pPr>
      <w:r>
        <w:t>Texas Penal Code § 32.45 Mis</w:t>
      </w:r>
      <w:r>
        <w:rPr>
          <w:spacing w:val="-1"/>
        </w:rPr>
        <w:t>a</w:t>
      </w:r>
      <w:r>
        <w:t>ppli</w:t>
      </w:r>
      <w:r>
        <w:rPr>
          <w:spacing w:val="-1"/>
        </w:rPr>
        <w:t>ca</w:t>
      </w:r>
      <w:r>
        <w:t>tion of</w:t>
      </w:r>
      <w:r>
        <w:rPr>
          <w:spacing w:val="2"/>
        </w:rPr>
        <w:t xml:space="preserve"> </w:t>
      </w:r>
      <w:r>
        <w:rPr>
          <w:spacing w:val="-1"/>
        </w:rPr>
        <w:t>F</w:t>
      </w:r>
      <w:r>
        <w:t>idu</w:t>
      </w:r>
      <w:r>
        <w:rPr>
          <w:spacing w:val="-1"/>
        </w:rPr>
        <w:t>c</w:t>
      </w:r>
      <w:r>
        <w:t>i</w:t>
      </w:r>
      <w:r>
        <w:rPr>
          <w:spacing w:val="-1"/>
        </w:rPr>
        <w:t>a</w:t>
      </w:r>
      <w:r>
        <w:rPr>
          <w:spacing w:val="4"/>
        </w:rPr>
        <w:t>r</w:t>
      </w:r>
      <w:r>
        <w:t xml:space="preserve">y Property in excess of $300,000.00, a state law felony. </w:t>
      </w:r>
      <w:r>
        <w:rPr>
          <w:sz w:val="24"/>
        </w:rPr>
        <w:t xml:space="preserve">Under </w:t>
      </w:r>
      <w:r>
        <w:rPr>
          <w:b/>
          <w:bCs/>
          <w:sz w:val="24"/>
        </w:rPr>
        <w:t>Texas Penal Code § 32.45</w:t>
      </w:r>
      <w:r>
        <w:rPr>
          <w:sz w:val="24"/>
        </w:rPr>
        <w:t>, the elements of the offense of</w:t>
      </w:r>
      <w:r>
        <w:rPr>
          <w:sz w:val="24"/>
        </w:rPr>
        <w:t xml:space="preserve"> </w:t>
      </w:r>
      <w:r>
        <w:rPr>
          <w:b/>
          <w:bCs/>
          <w:sz w:val="24"/>
        </w:rPr>
        <w:t>Misapplication of Fiduciary Property</w:t>
      </w:r>
      <w:r>
        <w:rPr>
          <w:sz w:val="24"/>
        </w:rPr>
        <w:t xml:space="preserve"> are as follows:</w:t>
      </w:r>
    </w:p>
    <w:p w14:paraId="08CCE6F2" w14:textId="77777777" w:rsidR="00000000" w:rsidRDefault="00703058">
      <w:pPr>
        <w:widowControl/>
        <w:spacing w:before="100" w:beforeAutospacing="1" w:after="100" w:afterAutospacing="1" w:line="240" w:lineRule="auto"/>
        <w:ind w:right="0" w:firstLine="0"/>
        <w:jc w:val="left"/>
        <w:rPr>
          <w:rFonts w:eastAsia="Times New Roman" w:cs="Times New Roman"/>
          <w:sz w:val="24"/>
          <w:szCs w:val="24"/>
        </w:rPr>
      </w:pPr>
      <w:r>
        <w:rPr>
          <w:rFonts w:eastAsia="Times New Roman" w:cs="Times New Roman"/>
          <w:b/>
          <w:bCs/>
          <w:sz w:val="24"/>
          <w:szCs w:val="24"/>
        </w:rPr>
        <w:t>1</w:t>
      </w:r>
      <w:r>
        <w:rPr>
          <w:rFonts w:eastAsia="Times New Roman" w:cs="Times New Roman"/>
          <w:b/>
          <w:bCs/>
          <w:sz w:val="24"/>
          <w:szCs w:val="24"/>
        </w:rPr>
        <w:tab/>
        <w:t>Fiduciary Relationship</w:t>
      </w:r>
      <w:r>
        <w:rPr>
          <w:rFonts w:eastAsia="Times New Roman" w:cs="Times New Roman"/>
          <w:sz w:val="24"/>
          <w:szCs w:val="24"/>
        </w:rPr>
        <w:t xml:space="preserve">: The defendant must be acting in a fiduciary capacity, </w:t>
      </w:r>
      <w:r>
        <w:rPr>
          <w:rFonts w:eastAsia="Times New Roman" w:cs="Times New Roman"/>
          <w:sz w:val="24"/>
          <w:szCs w:val="24"/>
        </w:rPr>
        <w:t>which includes roles such as trustee, guardian, executor, agent under a power of attorney, or any other fiduciary role.</w:t>
      </w:r>
    </w:p>
    <w:p w14:paraId="37C48D09" w14:textId="77777777" w:rsidR="00000000" w:rsidRDefault="00703058">
      <w:pPr>
        <w:widowControl/>
        <w:spacing w:before="100" w:beforeAutospacing="1" w:after="100" w:afterAutospacing="1" w:line="240" w:lineRule="auto"/>
        <w:ind w:right="0" w:firstLine="0"/>
        <w:jc w:val="left"/>
        <w:rPr>
          <w:rFonts w:eastAsia="Times New Roman" w:cs="Times New Roman"/>
          <w:sz w:val="24"/>
          <w:szCs w:val="24"/>
        </w:rPr>
      </w:pPr>
      <w:r>
        <w:rPr>
          <w:rFonts w:eastAsia="Times New Roman" w:cs="Times New Roman"/>
          <w:b/>
          <w:bCs/>
          <w:sz w:val="24"/>
          <w:szCs w:val="24"/>
        </w:rPr>
        <w:t>2</w:t>
      </w:r>
      <w:r>
        <w:rPr>
          <w:rFonts w:eastAsia="Times New Roman" w:cs="Times New Roman"/>
          <w:b/>
          <w:bCs/>
          <w:sz w:val="24"/>
          <w:szCs w:val="24"/>
        </w:rPr>
        <w:tab/>
        <w:t>Property Held in Trust</w:t>
      </w:r>
      <w:r>
        <w:rPr>
          <w:rFonts w:eastAsia="Times New Roman" w:cs="Times New Roman"/>
          <w:sz w:val="24"/>
          <w:szCs w:val="24"/>
        </w:rPr>
        <w:t>: The property in question must be held by the fiduciary for the benefit of another person or entity.</w:t>
      </w:r>
    </w:p>
    <w:p w14:paraId="0A6351D0" w14:textId="77777777" w:rsidR="00000000" w:rsidRDefault="00703058">
      <w:pPr>
        <w:widowControl/>
        <w:spacing w:before="100" w:beforeAutospacing="1" w:after="100" w:afterAutospacing="1" w:line="240" w:lineRule="auto"/>
        <w:ind w:right="0" w:firstLine="0"/>
        <w:jc w:val="left"/>
        <w:rPr>
          <w:rFonts w:eastAsia="Times New Roman" w:cs="Times New Roman"/>
          <w:sz w:val="24"/>
          <w:szCs w:val="24"/>
        </w:rPr>
      </w:pPr>
      <w:r>
        <w:rPr>
          <w:rFonts w:eastAsia="Times New Roman" w:cs="Times New Roman"/>
          <w:b/>
          <w:bCs/>
          <w:sz w:val="24"/>
          <w:szCs w:val="24"/>
        </w:rPr>
        <w:t>3</w:t>
      </w:r>
      <w:r>
        <w:rPr>
          <w:rFonts w:eastAsia="Times New Roman" w:cs="Times New Roman"/>
          <w:b/>
          <w:bCs/>
          <w:sz w:val="24"/>
          <w:szCs w:val="24"/>
        </w:rPr>
        <w:tab/>
        <w:t>Misappli</w:t>
      </w:r>
      <w:r>
        <w:rPr>
          <w:rFonts w:eastAsia="Times New Roman" w:cs="Times New Roman"/>
          <w:b/>
          <w:bCs/>
          <w:sz w:val="24"/>
          <w:szCs w:val="24"/>
        </w:rPr>
        <w:t>cation of Property</w:t>
      </w:r>
      <w:r>
        <w:rPr>
          <w:rFonts w:eastAsia="Times New Roman" w:cs="Times New Roman"/>
          <w:sz w:val="24"/>
          <w:szCs w:val="24"/>
        </w:rPr>
        <w:t>: The fiduciary must intentionally, knowingly, or recklessly misapply the property. Misapplication is defined as dealing with the property contrary to:</w:t>
      </w:r>
    </w:p>
    <w:p w14:paraId="1F464D3D" w14:textId="77777777" w:rsidR="00000000" w:rsidRDefault="00703058">
      <w:pPr>
        <w:widowControl/>
        <w:numPr>
          <w:ilvl w:val="1"/>
          <w:numId w:val="10"/>
        </w:numPr>
        <w:spacing w:before="100" w:beforeAutospacing="1" w:after="100" w:afterAutospacing="1" w:line="240" w:lineRule="auto"/>
        <w:ind w:right="0"/>
        <w:jc w:val="left"/>
        <w:rPr>
          <w:rFonts w:eastAsia="Times New Roman" w:cs="Times New Roman"/>
          <w:sz w:val="24"/>
          <w:szCs w:val="24"/>
        </w:rPr>
      </w:pPr>
      <w:r>
        <w:rPr>
          <w:rFonts w:eastAsia="Times New Roman" w:cs="Times New Roman"/>
          <w:sz w:val="24"/>
          <w:szCs w:val="24"/>
        </w:rPr>
        <w:t>An agreement under which the fiduciary holds the property, or</w:t>
      </w:r>
    </w:p>
    <w:p w14:paraId="670DEB3C" w14:textId="77777777" w:rsidR="00000000" w:rsidRDefault="00703058">
      <w:pPr>
        <w:widowControl/>
        <w:numPr>
          <w:ilvl w:val="1"/>
          <w:numId w:val="10"/>
        </w:numPr>
        <w:spacing w:before="100" w:beforeAutospacing="1" w:after="100" w:afterAutospacing="1" w:line="240" w:lineRule="auto"/>
        <w:ind w:right="0"/>
        <w:jc w:val="left"/>
        <w:rPr>
          <w:rFonts w:eastAsia="Times New Roman" w:cs="Times New Roman"/>
          <w:sz w:val="24"/>
          <w:szCs w:val="24"/>
        </w:rPr>
      </w:pPr>
      <w:r>
        <w:rPr>
          <w:rFonts w:eastAsia="Times New Roman" w:cs="Times New Roman"/>
          <w:sz w:val="24"/>
          <w:szCs w:val="24"/>
        </w:rPr>
        <w:t>A law prescribing the cu</w:t>
      </w:r>
      <w:r>
        <w:rPr>
          <w:rFonts w:eastAsia="Times New Roman" w:cs="Times New Roman"/>
          <w:sz w:val="24"/>
          <w:szCs w:val="24"/>
        </w:rPr>
        <w:t>stody or disposition of the property.</w:t>
      </w:r>
    </w:p>
    <w:p w14:paraId="1C0640FB" w14:textId="77777777" w:rsidR="00000000" w:rsidRDefault="00703058">
      <w:pPr>
        <w:widowControl/>
        <w:spacing w:before="100" w:beforeAutospacing="1" w:after="100" w:afterAutospacing="1" w:line="240" w:lineRule="auto"/>
        <w:ind w:right="0" w:firstLine="0"/>
        <w:jc w:val="left"/>
        <w:rPr>
          <w:rFonts w:eastAsia="Times New Roman" w:cs="Times New Roman"/>
          <w:sz w:val="24"/>
          <w:szCs w:val="24"/>
        </w:rPr>
      </w:pPr>
      <w:r>
        <w:rPr>
          <w:rFonts w:eastAsia="Times New Roman" w:cs="Times New Roman"/>
          <w:b/>
          <w:bCs/>
          <w:sz w:val="24"/>
          <w:szCs w:val="24"/>
        </w:rPr>
        <w:t>4</w:t>
      </w:r>
      <w:r>
        <w:rPr>
          <w:rFonts w:eastAsia="Times New Roman" w:cs="Times New Roman"/>
          <w:b/>
          <w:bCs/>
          <w:sz w:val="24"/>
          <w:szCs w:val="24"/>
        </w:rPr>
        <w:tab/>
        <w:t>Substantial Risk of Loss</w:t>
      </w:r>
      <w:r>
        <w:rPr>
          <w:rFonts w:eastAsia="Times New Roman" w:cs="Times New Roman"/>
          <w:sz w:val="24"/>
          <w:szCs w:val="24"/>
        </w:rPr>
        <w:t>: The misapplication must involve a substantial risk of loss to the owner of the property or the person for whose benefit the property is held.</w:t>
      </w:r>
    </w:p>
    <w:p w14:paraId="36F78B0A" w14:textId="77777777" w:rsidR="00000000" w:rsidRDefault="00703058">
      <w:pPr>
        <w:pStyle w:val="Heading3"/>
      </w:pPr>
      <w:r>
        <w:lastRenderedPageBreak/>
        <w:t>Texas Penal Code § 32.53 Exploitation - Mis</w:t>
      </w:r>
      <w:r>
        <w:rPr>
          <w:spacing w:val="-1"/>
        </w:rPr>
        <w:t>a</w:t>
      </w:r>
      <w:r>
        <w:t>ppli</w:t>
      </w:r>
      <w:r>
        <w:rPr>
          <w:spacing w:val="-1"/>
        </w:rPr>
        <w:t>ca</w:t>
      </w:r>
      <w:r>
        <w:t>tion of</w:t>
      </w:r>
      <w:r>
        <w:rPr>
          <w:spacing w:val="2"/>
        </w:rPr>
        <w:t xml:space="preserve"> </w:t>
      </w:r>
      <w:r>
        <w:rPr>
          <w:spacing w:val="-1"/>
        </w:rPr>
        <w:t>F</w:t>
      </w:r>
      <w:r>
        <w:t>idu</w:t>
      </w:r>
      <w:r>
        <w:rPr>
          <w:spacing w:val="-1"/>
        </w:rPr>
        <w:t>c</w:t>
      </w:r>
      <w:r>
        <w:t>i</w:t>
      </w:r>
      <w:r>
        <w:rPr>
          <w:spacing w:val="-1"/>
        </w:rPr>
        <w:t>a</w:t>
      </w:r>
      <w:r>
        <w:rPr>
          <w:spacing w:val="4"/>
        </w:rPr>
        <w:t>r</w:t>
      </w:r>
      <w:r>
        <w:t xml:space="preserve">y Property held in trust for the benefit of Elderly and Disabled Individuals, a state law felony. </w:t>
      </w:r>
      <w:r>
        <w:rPr>
          <w:rFonts w:eastAsia="Times New Roman" w:cs="Times New Roman"/>
        </w:rPr>
        <w:t xml:space="preserve">Under </w:t>
      </w:r>
      <w:r>
        <w:rPr>
          <w:rFonts w:eastAsia="Times New Roman" w:cs="Times New Roman"/>
          <w:b/>
          <w:bCs/>
        </w:rPr>
        <w:t>Texas Penal Code § 32.53</w:t>
      </w:r>
      <w:r>
        <w:rPr>
          <w:rFonts w:eastAsia="Times New Roman" w:cs="Times New Roman"/>
        </w:rPr>
        <w:t xml:space="preserve">, the offense of </w:t>
      </w:r>
      <w:r>
        <w:rPr>
          <w:rFonts w:eastAsia="Times New Roman" w:cs="Times New Roman"/>
          <w:b/>
          <w:bCs/>
        </w:rPr>
        <w:t>Exploitation of a Child, Elderly Individual, or Disabled Individual</w:t>
      </w:r>
      <w:r>
        <w:rPr>
          <w:rFonts w:eastAsia="Times New Roman" w:cs="Times New Roman"/>
        </w:rPr>
        <w:t xml:space="preserve"> consists of the following</w:t>
      </w:r>
      <w:r>
        <w:rPr>
          <w:rFonts w:eastAsia="Times New Roman" w:cs="Times New Roman"/>
        </w:rPr>
        <w:t xml:space="preserve"> elements:</w:t>
      </w:r>
    </w:p>
    <w:p w14:paraId="519DDEC4" w14:textId="77777777" w:rsidR="00000000" w:rsidRDefault="00703058">
      <w:pPr>
        <w:widowControl/>
        <w:ind w:right="0" w:firstLine="0"/>
        <w:jc w:val="left"/>
      </w:pPr>
      <w:r>
        <w:rPr>
          <w:b/>
          <w:bCs/>
        </w:rPr>
        <w:t>Act of Exploitation</w:t>
      </w:r>
      <w:r>
        <w:t>: The defendant must intentionally, knowingly, or recklessly cause the exploitation of a child, elderly individual, or disabled individual.</w:t>
      </w:r>
    </w:p>
    <w:p w14:paraId="3077E0C4" w14:textId="77777777" w:rsidR="00000000" w:rsidRDefault="00703058">
      <w:pPr>
        <w:widowControl/>
        <w:spacing w:before="100" w:beforeAutospacing="1" w:after="100" w:afterAutospacing="1" w:line="240" w:lineRule="auto"/>
        <w:ind w:right="0" w:firstLine="0"/>
        <w:jc w:val="left"/>
        <w:rPr>
          <w:rFonts w:eastAsia="Times New Roman" w:cs="Times New Roman"/>
          <w:sz w:val="24"/>
          <w:szCs w:val="24"/>
        </w:rPr>
      </w:pPr>
      <w:r>
        <w:rPr>
          <w:rFonts w:eastAsia="Times New Roman" w:cs="Times New Roman"/>
          <w:b/>
          <w:bCs/>
          <w:sz w:val="24"/>
          <w:szCs w:val="24"/>
        </w:rPr>
        <w:t>Definition of Exploitation</w:t>
      </w:r>
      <w:r>
        <w:rPr>
          <w:rFonts w:eastAsia="Times New Roman" w:cs="Times New Roman"/>
          <w:sz w:val="24"/>
          <w:szCs w:val="24"/>
        </w:rPr>
        <w:t xml:space="preserve">: Exploitation is defined as the illegal or improper use of </w:t>
      </w:r>
      <w:r>
        <w:rPr>
          <w:rFonts w:eastAsia="Times New Roman" w:cs="Times New Roman"/>
          <w:sz w:val="24"/>
          <w:szCs w:val="24"/>
        </w:rPr>
        <w:t>a child, elderly individual, or disabled individual for monetary or personal benefit, profit, or gain.</w:t>
      </w:r>
    </w:p>
    <w:p w14:paraId="01F697B3" w14:textId="77777777" w:rsidR="00000000" w:rsidRDefault="00703058">
      <w:pPr>
        <w:widowControl/>
        <w:spacing w:before="100" w:beforeAutospacing="1" w:after="100" w:afterAutospacing="1" w:line="240" w:lineRule="auto"/>
        <w:ind w:right="0" w:firstLine="0"/>
        <w:jc w:val="left"/>
        <w:rPr>
          <w:rFonts w:eastAsia="Times New Roman" w:cs="Times New Roman"/>
          <w:sz w:val="24"/>
          <w:szCs w:val="24"/>
        </w:rPr>
      </w:pPr>
      <w:r>
        <w:rPr>
          <w:rFonts w:eastAsia="Times New Roman" w:cs="Times New Roman"/>
          <w:b/>
          <w:bCs/>
          <w:sz w:val="24"/>
          <w:szCs w:val="24"/>
        </w:rPr>
        <w:t>Protected Individuals</w:t>
      </w:r>
      <w:r>
        <w:rPr>
          <w:rFonts w:eastAsia="Times New Roman" w:cs="Times New Roman"/>
          <w:sz w:val="24"/>
          <w:szCs w:val="24"/>
        </w:rPr>
        <w:t>:</w:t>
      </w:r>
    </w:p>
    <w:p w14:paraId="6C264EFE" w14:textId="77777777" w:rsidR="00000000" w:rsidRDefault="00703058">
      <w:pPr>
        <w:widowControl/>
        <w:numPr>
          <w:ilvl w:val="1"/>
          <w:numId w:val="11"/>
        </w:numPr>
        <w:spacing w:before="100" w:beforeAutospacing="1" w:after="100" w:afterAutospacing="1" w:line="240" w:lineRule="auto"/>
        <w:ind w:right="0"/>
        <w:jc w:val="left"/>
        <w:rPr>
          <w:rFonts w:eastAsia="Times New Roman" w:cs="Times New Roman"/>
          <w:sz w:val="24"/>
          <w:szCs w:val="24"/>
        </w:rPr>
      </w:pPr>
      <w:r>
        <w:rPr>
          <w:rFonts w:eastAsia="Times New Roman" w:cs="Times New Roman"/>
          <w:b/>
          <w:bCs/>
          <w:sz w:val="24"/>
          <w:szCs w:val="24"/>
        </w:rPr>
        <w:t>Child</w:t>
      </w:r>
      <w:r>
        <w:rPr>
          <w:rFonts w:eastAsia="Times New Roman" w:cs="Times New Roman"/>
          <w:sz w:val="24"/>
          <w:szCs w:val="24"/>
        </w:rPr>
        <w:t>: A person younger than 18 years of age.</w:t>
      </w:r>
    </w:p>
    <w:p w14:paraId="14B1637C" w14:textId="77777777" w:rsidR="00000000" w:rsidRDefault="00703058">
      <w:pPr>
        <w:widowControl/>
        <w:numPr>
          <w:ilvl w:val="1"/>
          <w:numId w:val="11"/>
        </w:numPr>
        <w:spacing w:before="100" w:beforeAutospacing="1" w:after="100" w:afterAutospacing="1" w:line="240" w:lineRule="auto"/>
        <w:ind w:right="0"/>
        <w:jc w:val="left"/>
        <w:rPr>
          <w:rFonts w:eastAsia="Times New Roman" w:cs="Times New Roman"/>
          <w:sz w:val="24"/>
          <w:szCs w:val="24"/>
        </w:rPr>
      </w:pPr>
      <w:r>
        <w:rPr>
          <w:rFonts w:eastAsia="Times New Roman" w:cs="Times New Roman"/>
          <w:b/>
          <w:bCs/>
          <w:sz w:val="24"/>
          <w:szCs w:val="24"/>
        </w:rPr>
        <w:t>Elderly Individual</w:t>
      </w:r>
      <w:r>
        <w:rPr>
          <w:rFonts w:eastAsia="Times New Roman" w:cs="Times New Roman"/>
          <w:sz w:val="24"/>
          <w:szCs w:val="24"/>
        </w:rPr>
        <w:t>: A person aged 65 or older.</w:t>
      </w:r>
    </w:p>
    <w:p w14:paraId="7442442A" w14:textId="77777777" w:rsidR="00000000" w:rsidRDefault="00703058">
      <w:pPr>
        <w:widowControl/>
        <w:numPr>
          <w:ilvl w:val="1"/>
          <w:numId w:val="11"/>
        </w:numPr>
        <w:spacing w:before="100" w:beforeAutospacing="1" w:after="100" w:afterAutospacing="1" w:line="240" w:lineRule="auto"/>
        <w:ind w:right="0"/>
        <w:jc w:val="left"/>
        <w:rPr>
          <w:rFonts w:eastAsia="Times New Roman" w:cs="Times New Roman"/>
          <w:sz w:val="24"/>
          <w:szCs w:val="24"/>
        </w:rPr>
      </w:pPr>
      <w:r>
        <w:rPr>
          <w:rFonts w:eastAsia="Times New Roman" w:cs="Times New Roman"/>
          <w:b/>
          <w:bCs/>
          <w:sz w:val="24"/>
          <w:szCs w:val="24"/>
        </w:rPr>
        <w:t>Disabled Individual</w:t>
      </w:r>
      <w:r>
        <w:rPr>
          <w:rFonts w:eastAsia="Times New Roman" w:cs="Times New Roman"/>
          <w:sz w:val="24"/>
          <w:szCs w:val="24"/>
        </w:rPr>
        <w:t>: A person with a physical or mental condition that substantially limits their ability to provide for their own care or protection.</w:t>
      </w:r>
    </w:p>
    <w:p w14:paraId="2D3E0156" w14:textId="77777777" w:rsidR="00000000" w:rsidRDefault="00703058">
      <w:pPr>
        <w:widowControl/>
        <w:spacing w:before="100" w:beforeAutospacing="1" w:after="100" w:afterAutospacing="1" w:line="240" w:lineRule="auto"/>
        <w:ind w:right="0" w:firstLine="0"/>
        <w:jc w:val="left"/>
        <w:rPr>
          <w:rFonts w:eastAsia="Times New Roman" w:cs="Times New Roman"/>
          <w:sz w:val="24"/>
          <w:szCs w:val="24"/>
        </w:rPr>
      </w:pPr>
      <w:r>
        <w:rPr>
          <w:rFonts w:eastAsia="Times New Roman" w:cs="Times New Roman"/>
          <w:b/>
          <w:bCs/>
          <w:sz w:val="24"/>
          <w:szCs w:val="24"/>
        </w:rPr>
        <w:t>Mental State</w:t>
      </w:r>
      <w:r>
        <w:rPr>
          <w:rFonts w:eastAsia="Times New Roman" w:cs="Times New Roman"/>
          <w:sz w:val="24"/>
          <w:szCs w:val="24"/>
        </w:rPr>
        <w:t>: The defendant must act with one of the following mental states:</w:t>
      </w:r>
    </w:p>
    <w:p w14:paraId="3EC6004E" w14:textId="77777777" w:rsidR="00000000" w:rsidRDefault="00703058">
      <w:pPr>
        <w:widowControl/>
        <w:numPr>
          <w:ilvl w:val="1"/>
          <w:numId w:val="11"/>
        </w:numPr>
        <w:spacing w:before="100" w:beforeAutospacing="1" w:after="100" w:afterAutospacing="1" w:line="240" w:lineRule="auto"/>
        <w:ind w:right="0"/>
        <w:jc w:val="left"/>
        <w:rPr>
          <w:rFonts w:eastAsia="Times New Roman" w:cs="Times New Roman"/>
          <w:sz w:val="24"/>
          <w:szCs w:val="24"/>
        </w:rPr>
      </w:pPr>
      <w:r>
        <w:rPr>
          <w:rFonts w:eastAsia="Times New Roman" w:cs="Times New Roman"/>
          <w:sz w:val="24"/>
          <w:szCs w:val="24"/>
        </w:rPr>
        <w:t>Intentionally,</w:t>
      </w:r>
    </w:p>
    <w:p w14:paraId="4D0695CA" w14:textId="77777777" w:rsidR="00000000" w:rsidRDefault="00703058">
      <w:pPr>
        <w:widowControl/>
        <w:numPr>
          <w:ilvl w:val="1"/>
          <w:numId w:val="11"/>
        </w:numPr>
        <w:spacing w:before="100" w:beforeAutospacing="1" w:after="100" w:afterAutospacing="1" w:line="240" w:lineRule="auto"/>
        <w:ind w:right="0"/>
        <w:jc w:val="left"/>
        <w:rPr>
          <w:rFonts w:eastAsia="Times New Roman" w:cs="Times New Roman"/>
          <w:sz w:val="24"/>
          <w:szCs w:val="24"/>
        </w:rPr>
      </w:pPr>
      <w:r>
        <w:rPr>
          <w:rFonts w:eastAsia="Times New Roman" w:cs="Times New Roman"/>
          <w:sz w:val="24"/>
          <w:szCs w:val="24"/>
        </w:rPr>
        <w:t>Knowingly, o</w:t>
      </w:r>
      <w:r>
        <w:rPr>
          <w:rFonts w:eastAsia="Times New Roman" w:cs="Times New Roman"/>
          <w:sz w:val="24"/>
          <w:szCs w:val="24"/>
        </w:rPr>
        <w:t>r</w:t>
      </w:r>
    </w:p>
    <w:p w14:paraId="10AD3DFA" w14:textId="77777777" w:rsidR="00000000" w:rsidRDefault="00703058">
      <w:pPr>
        <w:widowControl/>
        <w:numPr>
          <w:ilvl w:val="1"/>
          <w:numId w:val="11"/>
        </w:numPr>
        <w:spacing w:before="100" w:beforeAutospacing="1" w:after="100" w:afterAutospacing="1" w:line="240" w:lineRule="auto"/>
        <w:ind w:right="0"/>
        <w:jc w:val="left"/>
        <w:rPr>
          <w:rFonts w:eastAsia="Times New Roman" w:cs="Times New Roman"/>
          <w:sz w:val="24"/>
          <w:szCs w:val="24"/>
        </w:rPr>
      </w:pPr>
      <w:r>
        <w:rPr>
          <w:rFonts w:eastAsia="Times New Roman" w:cs="Times New Roman"/>
          <w:sz w:val="24"/>
          <w:szCs w:val="24"/>
        </w:rPr>
        <w:t>Recklessly.</w:t>
      </w:r>
    </w:p>
    <w:p w14:paraId="612F6042" w14:textId="77777777" w:rsidR="00000000" w:rsidRDefault="00703058">
      <w:pPr>
        <w:widowControl/>
        <w:spacing w:before="100" w:beforeAutospacing="1" w:after="100" w:afterAutospacing="1" w:line="240" w:lineRule="auto"/>
        <w:ind w:firstLine="0"/>
        <w:rPr>
          <w:rStyle w:val="SubtleEmphasis"/>
          <w:i w:val="0"/>
          <w:iCs w:val="0"/>
        </w:rPr>
      </w:pPr>
      <w:r>
        <w:rPr>
          <w:rFonts w:eastAsia="Times New Roman" w:cs="Times New Roman"/>
          <w:sz w:val="24"/>
          <w:szCs w:val="24"/>
        </w:rPr>
        <w:t xml:space="preserve">This offense is classified as a </w:t>
      </w:r>
      <w:r>
        <w:rPr>
          <w:rFonts w:eastAsia="Times New Roman" w:cs="Times New Roman"/>
          <w:b/>
          <w:bCs/>
          <w:sz w:val="24"/>
          <w:szCs w:val="24"/>
        </w:rPr>
        <w:t>third-degree felony</w:t>
      </w:r>
      <w:r>
        <w:rPr>
          <w:rFonts w:eastAsia="Times New Roman" w:cs="Times New Roman"/>
          <w:sz w:val="24"/>
          <w:szCs w:val="24"/>
        </w:rPr>
        <w:t xml:space="preserve"> under Texas law.</w:t>
      </w:r>
      <w:bookmarkEnd w:id="0"/>
    </w:p>
    <w:p w14:paraId="718CA5E8" w14:textId="77777777" w:rsidR="00000000" w:rsidRDefault="00703058">
      <w:pPr>
        <w:pStyle w:val="Heading2"/>
        <w:rPr>
          <w:rStyle w:val="SubtleEmphasis"/>
          <w:bCs/>
          <w:i w:val="0"/>
        </w:rPr>
      </w:pPr>
      <w:bookmarkStart w:id="1" w:name="_Toc161996104"/>
      <w:r>
        <w:rPr>
          <w:rStyle w:val="SubtleEmphasis"/>
          <w:bCs/>
          <w:i w:val="0"/>
        </w:rPr>
        <w:t>The Case in Point</w:t>
      </w:r>
      <w:bookmarkEnd w:id="1"/>
    </w:p>
    <w:p w14:paraId="3BC59EA2" w14:textId="77777777" w:rsidR="00000000" w:rsidRDefault="00703058">
      <w:pPr>
        <w:ind w:firstLine="0"/>
        <w:rPr>
          <w:rStyle w:val="SubtleEmphasis"/>
          <w:bCs/>
          <w:i w:val="0"/>
        </w:rPr>
      </w:pPr>
      <w:r>
        <w:rPr>
          <w:rStyle w:val="SubtleEmphasis"/>
          <w:bCs/>
          <w:i w:val="0"/>
        </w:rPr>
        <w:t xml:space="preserve">Grift of the Brunstings is a two-part story that includes a front end and a back end. The front end is an estate </w:t>
      </w:r>
      <w:r>
        <w:rPr>
          <w:rStyle w:val="SubtleEmphasis"/>
          <w:bCs/>
          <w:i w:val="0"/>
        </w:rPr>
        <w:lastRenderedPageBreak/>
        <w:t xml:space="preserve">planning bait and switch that follows </w:t>
      </w:r>
      <w:hyperlink r:id="rId30" w:history="1">
        <w:r>
          <w:rPr>
            <w:rStyle w:val="Hyperlink"/>
            <w:bCs/>
          </w:rPr>
          <w:t>a well beaten path</w:t>
        </w:r>
      </w:hyperlink>
      <w:r>
        <w:rPr>
          <w:rStyle w:val="SubtleEmphasis"/>
          <w:bCs/>
          <w:i w:val="0"/>
        </w:rPr>
        <w:t xml:space="preserve"> and the back end is an attorney exploitation of the front-end setup that also </w:t>
      </w:r>
      <w:r>
        <w:rPr>
          <w:bCs/>
        </w:rPr>
        <w:t>follows a well beaten path. The backend is where the attor</w:t>
      </w:r>
      <w:r>
        <w:rPr>
          <w:bCs/>
        </w:rPr>
        <w:t xml:space="preserve">neys pose and posture and generate bills for unearned fees while the court keeps the suckers in stasis by not ruling on anything. </w:t>
      </w:r>
      <w:r>
        <w:rPr>
          <w:rStyle w:val="SubtleEmphasis"/>
          <w:bCs/>
          <w:i w:val="0"/>
        </w:rPr>
        <w:t xml:space="preserve">(See </w:t>
      </w:r>
      <w:hyperlink r:id="rId31" w:history="1">
        <w:r>
          <w:rPr>
            <w:rStyle w:val="Hyperlink"/>
            <w:bCs/>
          </w:rPr>
          <w:t>comments on Page 35 Ln. 15-18</w:t>
        </w:r>
      </w:hyperlink>
      <w:r>
        <w:rPr>
          <w:rStyle w:val="SubtleEmphasis"/>
          <w:bCs/>
          <w:i w:val="0"/>
        </w:rPr>
        <w:t xml:space="preserve">). </w:t>
      </w:r>
    </w:p>
    <w:p w14:paraId="27636F51" w14:textId="77777777" w:rsidR="00000000" w:rsidRDefault="00703058">
      <w:hyperlink r:id="rId32" w:history="1">
        <w:r>
          <w:rPr>
            <w:rStyle w:val="Hyperlink"/>
          </w:rPr>
          <w:t>Affidavit of Witness</w:t>
        </w:r>
      </w:hyperlink>
      <w:r>
        <w:t xml:space="preserve"> Rik Munson </w:t>
      </w:r>
      <w:hyperlink r:id="rId33" w:history="1">
        <w:r>
          <w:rPr>
            <w:rStyle w:val="Hyperlink"/>
          </w:rPr>
          <w:t>blowintough@att.net</w:t>
        </w:r>
      </w:hyperlink>
    </w:p>
    <w:p w14:paraId="2CB22E53" w14:textId="77777777" w:rsidR="00000000" w:rsidRDefault="00703058">
      <w:pPr>
        <w:rPr>
          <w:rStyle w:val="SubtleEmphasis"/>
          <w:bCs/>
          <w:i w:val="0"/>
        </w:rPr>
      </w:pPr>
      <w:r>
        <w:rPr>
          <w:rStyle w:val="SubtleEmphasis"/>
          <w:bCs/>
          <w:i w:val="0"/>
        </w:rPr>
        <w:t>Keep</w:t>
      </w:r>
      <w:r>
        <w:rPr>
          <w:rStyle w:val="SubtleEmphasis"/>
          <w:bCs/>
          <w:i w:val="0"/>
        </w:rPr>
        <w:t xml:space="preserve"> in mind that if there is no law there is no government. If there is no remedy there is no legitimacy in our judicial system. In the latter case the only difference between a private sector mafia and a court is the lack of pretense. Private Sector Mafia’s </w:t>
      </w:r>
      <w:r>
        <w:rPr>
          <w:rStyle w:val="SubtleEmphasis"/>
          <w:bCs/>
          <w:i w:val="0"/>
        </w:rPr>
        <w:t>do not pretend legitimacy.</w:t>
      </w:r>
    </w:p>
    <w:p w14:paraId="4AA7ECF6" w14:textId="77777777" w:rsidR="00000000" w:rsidRDefault="00703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rPr>
          <w:rFonts w:ascii="Courier New" w:hAnsi="Courier New" w:cs="Courier New"/>
          <w:sz w:val="20"/>
          <w:szCs w:val="20"/>
        </w:rPr>
      </w:pPr>
      <w:hyperlink r:id="rId34" w:history="1">
        <w:r>
          <w:rPr>
            <w:rStyle w:val="Hyperlink"/>
            <w:rFonts w:ascii="Courier New" w:hAnsi="Courier New" w:cs="Courier New"/>
            <w:sz w:val="20"/>
            <w:szCs w:val="20"/>
          </w:rPr>
          <w:t>1 Racketeering Case Statement.docx</w:t>
        </w:r>
      </w:hyperlink>
      <w:r>
        <w:rPr>
          <w:rFonts w:ascii="Courier New" w:hAnsi="Courier New" w:cs="Courier New"/>
          <w:sz w:val="20"/>
          <w:szCs w:val="20"/>
        </w:rPr>
        <w:br/>
      </w:r>
      <w:hyperlink r:id="rId35" w:history="1">
        <w:r>
          <w:rPr>
            <w:rStyle w:val="Hyperlink"/>
            <w:rFonts w:ascii="Courier New" w:hAnsi="Courier New" w:cs="Courier New"/>
            <w:sz w:val="20"/>
            <w:szCs w:val="20"/>
          </w:rPr>
          <w:t>2 Curtis Curtis Curtis RICO_Complaint draft.docx</w:t>
        </w:r>
      </w:hyperlink>
      <w:r>
        <w:rPr>
          <w:rFonts w:ascii="Courier New" w:hAnsi="Courier New" w:cs="Courier New"/>
          <w:sz w:val="20"/>
          <w:szCs w:val="20"/>
        </w:rPr>
        <w:br/>
      </w:r>
      <w:hyperlink r:id="rId36" w:history="1">
        <w:r>
          <w:rPr>
            <w:rStyle w:val="Hyperlink"/>
            <w:rFonts w:ascii="Courier New" w:hAnsi="Courier New" w:cs="Courier New"/>
            <w:sz w:val="20"/>
            <w:szCs w:val="20"/>
          </w:rPr>
          <w:t>2019-04-12 Verified Affidavit of Candace Curtis 4-12-cv-592.pdf</w:t>
        </w:r>
      </w:hyperlink>
      <w:r>
        <w:rPr>
          <w:rFonts w:ascii="Courier New" w:hAnsi="Courier New" w:cs="Courier New"/>
          <w:sz w:val="20"/>
          <w:szCs w:val="20"/>
        </w:rPr>
        <w:br/>
      </w:r>
      <w:hyperlink r:id="rId37" w:history="1">
        <w:r>
          <w:rPr>
            <w:rStyle w:val="Hyperlink"/>
            <w:rFonts w:ascii="Courier New" w:hAnsi="Courier New" w:cs="Courier New"/>
            <w:sz w:val="20"/>
            <w:szCs w:val="20"/>
          </w:rPr>
          <w:t>2024-0</w:t>
        </w:r>
        <w:r>
          <w:rPr>
            <w:rStyle w:val="Hyperlink"/>
            <w:rFonts w:ascii="Courier New" w:hAnsi="Courier New" w:cs="Courier New"/>
            <w:sz w:val="20"/>
            <w:szCs w:val="20"/>
          </w:rPr>
          <w:t>8-08 Unsworn Declaration of Witness Rik Munson.pdf</w:t>
        </w:r>
      </w:hyperlink>
      <w:r>
        <w:rPr>
          <w:rFonts w:ascii="Courier New" w:hAnsi="Courier New" w:cs="Courier New"/>
          <w:sz w:val="20"/>
          <w:szCs w:val="20"/>
        </w:rPr>
        <w:br/>
      </w:r>
      <w:hyperlink r:id="rId38" w:history="1">
        <w:r>
          <w:rPr>
            <w:rStyle w:val="Hyperlink"/>
            <w:rFonts w:ascii="Courier New" w:hAnsi="Courier New" w:cs="Courier New"/>
            <w:sz w:val="20"/>
            <w:szCs w:val="20"/>
          </w:rPr>
          <w:t>2025-04-18 Amended NOH.Status Conference June 2 2025 2pm.pdf</w:t>
        </w:r>
      </w:hyperlink>
      <w:r>
        <w:rPr>
          <w:rFonts w:ascii="Courier New" w:hAnsi="Courier New" w:cs="Courier New"/>
          <w:sz w:val="20"/>
          <w:szCs w:val="20"/>
        </w:rPr>
        <w:br/>
      </w:r>
      <w:hyperlink r:id="rId39" w:history="1">
        <w:r>
          <w:rPr>
            <w:rStyle w:val="Hyperlink"/>
            <w:rFonts w:ascii="Courier New" w:hAnsi="Courier New" w:cs="Courier New"/>
            <w:sz w:val="20"/>
            <w:szCs w:val="20"/>
          </w:rPr>
          <w:t>3 Memorandum of Facts Parts 1-5.docx</w:t>
        </w:r>
      </w:hyperlink>
      <w:r>
        <w:rPr>
          <w:rFonts w:ascii="Courier New" w:hAnsi="Courier New" w:cs="Courier New"/>
          <w:sz w:val="20"/>
          <w:szCs w:val="20"/>
        </w:rPr>
        <w:br/>
      </w:r>
      <w:hyperlink r:id="rId40" w:history="1">
        <w:r>
          <w:rPr>
            <w:rStyle w:val="Hyperlink"/>
            <w:rFonts w:ascii="Courier New" w:hAnsi="Courier New" w:cs="Courier New"/>
            <w:sz w:val="20"/>
            <w:szCs w:val="20"/>
          </w:rPr>
          <w:t>4 Appen</w:t>
        </w:r>
        <w:r>
          <w:rPr>
            <w:rStyle w:val="Hyperlink"/>
            <w:rFonts w:ascii="Courier New" w:hAnsi="Courier New" w:cs="Courier New"/>
            <w:sz w:val="20"/>
            <w:szCs w:val="20"/>
          </w:rPr>
          <w:t>dix A List of Exhibits.docx</w:t>
        </w:r>
      </w:hyperlink>
      <w:r>
        <w:rPr>
          <w:rFonts w:ascii="Courier New" w:hAnsi="Courier New" w:cs="Courier New"/>
          <w:sz w:val="20"/>
          <w:szCs w:val="20"/>
        </w:rPr>
        <w:br/>
      </w:r>
      <w:hyperlink r:id="rId41" w:history="1">
        <w:r>
          <w:rPr>
            <w:rStyle w:val="Hyperlink"/>
            <w:rFonts w:ascii="Courier New" w:hAnsi="Courier New" w:cs="Courier New"/>
            <w:sz w:val="20"/>
            <w:szCs w:val="20"/>
          </w:rPr>
          <w:t>Exhibits</w:t>
        </w:r>
      </w:hyperlink>
      <w:r>
        <w:rPr>
          <w:rFonts w:ascii="Courier New" w:hAnsi="Courier New" w:cs="Courier New"/>
          <w:sz w:val="20"/>
          <w:szCs w:val="20"/>
        </w:rPr>
        <w:br/>
      </w:r>
      <w:hyperlink r:id="rId42" w:history="1">
        <w:r>
          <w:rPr>
            <w:rStyle w:val="Hyperlink"/>
            <w:rFonts w:ascii="Courier New" w:hAnsi="Courier New" w:cs="Courier New"/>
            <w:sz w:val="20"/>
            <w:szCs w:val="20"/>
          </w:rPr>
          <w:t>The Brunsting Trust Controversy was engineered using an estate planning bait and switch.docx</w:t>
        </w:r>
      </w:hyperlink>
      <w:r>
        <w:rPr>
          <w:rFonts w:ascii="Courier New" w:hAnsi="Courier New" w:cs="Courier New"/>
          <w:sz w:val="20"/>
          <w:szCs w:val="20"/>
        </w:rPr>
        <w:br/>
      </w:r>
      <w:hyperlink r:id="rId43" w:history="1">
        <w:r>
          <w:rPr>
            <w:rStyle w:val="Hyperlink"/>
            <w:rFonts w:ascii="Courier New" w:hAnsi="Courier New" w:cs="Courier New"/>
            <w:sz w:val="20"/>
            <w:szCs w:val="20"/>
          </w:rPr>
          <w:t>The Probate Mafia and the Brunsting Family Trust.pdf</w:t>
        </w:r>
      </w:hyperlink>
      <w:r>
        <w:rPr>
          <w:rFonts w:ascii="Courier New" w:hAnsi="Courier New" w:cs="Courier New"/>
          <w:sz w:val="20"/>
          <w:szCs w:val="20"/>
        </w:rPr>
        <w:br/>
      </w:r>
      <w:hyperlink r:id="rId44" w:history="1">
        <w:r>
          <w:rPr>
            <w:rStyle w:val="Hyperlink"/>
            <w:rFonts w:ascii="Courier New" w:hAnsi="Courier New" w:cs="Courier New"/>
            <w:sz w:val="20"/>
            <w:szCs w:val="20"/>
          </w:rPr>
          <w:t>They have not produced the Heinous Extortion Instrument.docx</w:t>
        </w:r>
      </w:hyperlink>
      <w:r>
        <w:rPr>
          <w:rFonts w:ascii="Courier New" w:hAnsi="Courier New" w:cs="Courier New"/>
          <w:sz w:val="20"/>
          <w:szCs w:val="20"/>
        </w:rPr>
        <w:br/>
      </w:r>
      <w:hyperlink r:id="rId45" w:history="1">
        <w:r>
          <w:rPr>
            <w:rStyle w:val="Hyperlink"/>
            <w:rFonts w:ascii="Courier New" w:hAnsi="Courier New" w:cs="Courier New"/>
            <w:sz w:val="20"/>
            <w:szCs w:val="20"/>
          </w:rPr>
          <w:t>To whom it may concern.docx</w:t>
        </w:r>
      </w:hyperlink>
    </w:p>
    <w:p w14:paraId="273A65CC" w14:textId="77777777" w:rsidR="00000000" w:rsidRDefault="00703058">
      <w:pPr>
        <w:rPr>
          <w:rStyle w:val="SubtleEmphasis"/>
          <w:bCs/>
          <w:i w:val="0"/>
        </w:rPr>
      </w:pPr>
    </w:p>
    <w:sectPr w:rsidR="00000000">
      <w:headerReference w:type="even" r:id="rId46"/>
      <w:headerReference w:type="default" r:id="rId47"/>
      <w:footerReference w:type="even" r:id="rId48"/>
      <w:footerReference w:type="default" r:id="rId49"/>
      <w:headerReference w:type="first" r:id="rId50"/>
      <w:footerReference w:type="first" r:id="rId51"/>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4107A" w14:textId="77777777" w:rsidR="00000000" w:rsidRDefault="00703058">
      <w:r>
        <w:separator/>
      </w:r>
    </w:p>
  </w:endnote>
  <w:endnote w:type="continuationSeparator" w:id="0">
    <w:p w14:paraId="09788358" w14:textId="77777777" w:rsidR="00000000" w:rsidRDefault="0070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othic Std B">
    <w:panose1 w:val="020B08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64B1" w14:textId="77777777" w:rsidR="00000000" w:rsidRDefault="00703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CB52" w14:textId="77777777" w:rsidR="00000000" w:rsidRDefault="007030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B0AF" w14:textId="77777777" w:rsidR="00000000" w:rsidRDefault="00703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21CD7" w14:textId="77777777" w:rsidR="00000000" w:rsidRDefault="00703058">
      <w:r>
        <w:separator/>
      </w:r>
    </w:p>
  </w:footnote>
  <w:footnote w:type="continuationSeparator" w:id="0">
    <w:p w14:paraId="0514B4C3" w14:textId="77777777" w:rsidR="00000000" w:rsidRDefault="00703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CC39" w14:textId="77777777" w:rsidR="00000000" w:rsidRDefault="007030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11A3" w14:textId="77777777" w:rsidR="00000000" w:rsidRDefault="00703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7E44" w14:textId="77777777" w:rsidR="00000000" w:rsidRDefault="00703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43A2"/>
    <w:multiLevelType w:val="hybridMultilevel"/>
    <w:tmpl w:val="02A2544C"/>
    <w:lvl w:ilvl="0" w:tplc="40DEF304">
      <w:start w:val="1"/>
      <w:numFmt w:val="decimal"/>
      <w:pStyle w:val="Heading3Char"/>
      <w:lvlText w:val="%1."/>
      <w:lvlJc w:val="left"/>
      <w:pPr>
        <w:ind w:left="1560" w:hanging="720"/>
      </w:pPr>
      <w:rPr>
        <w:rFonts w:ascii="Times New Roman" w:hAnsi="Times New Roman" w:cs="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1" w15:restartNumberingAfterBreak="0">
    <w:nsid w:val="3CE72506"/>
    <w:multiLevelType w:val="hybridMultilevel"/>
    <w:tmpl w:val="F8C8D4D0"/>
    <w:lvl w:ilvl="0" w:tplc="D4CE895A">
      <w:start w:val="1"/>
      <w:numFmt w:val="decimal"/>
      <w:pStyle w:val="ListParagraph"/>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 w15:restartNumberingAfterBreak="0">
    <w:nsid w:val="3F1B26B8"/>
    <w:multiLevelType w:val="multilevel"/>
    <w:tmpl w:val="630E9E4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66F5047"/>
    <w:multiLevelType w:val="hybridMultilevel"/>
    <w:tmpl w:val="448860B2"/>
    <w:lvl w:ilvl="0" w:tplc="01461E86">
      <w:start w:val="1"/>
      <w:numFmt w:val="bullet"/>
      <w:pStyle w:val="Bullet"/>
      <w:lvlText w:val=""/>
      <w:lvlJc w:val="left"/>
      <w:pPr>
        <w:ind w:left="360" w:hanging="360"/>
      </w:pPr>
      <w:rPr>
        <w:rFonts w:ascii="Symbol" w:hAnsi="Symbol" w:hint="default"/>
      </w:rPr>
    </w:lvl>
    <w:lvl w:ilvl="1" w:tplc="5C8E4776">
      <w:start w:val="1"/>
      <w:numFmt w:val="lowerLetter"/>
      <w:lvlText w:val="%2."/>
      <w:lvlJc w:val="left"/>
      <w:pPr>
        <w:ind w:left="1080" w:hanging="360"/>
      </w:pPr>
    </w:lvl>
    <w:lvl w:ilvl="2" w:tplc="6A36F5C6">
      <w:start w:val="1"/>
      <w:numFmt w:val="decimal"/>
      <w:lvlText w:val="(%3)"/>
      <w:lvlJc w:val="left"/>
      <w:pPr>
        <w:ind w:left="2730" w:hanging="111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69DB49CC"/>
    <w:multiLevelType w:val="hybridMultilevel"/>
    <w:tmpl w:val="106EA43C"/>
    <w:lvl w:ilvl="0" w:tplc="281E5F20">
      <w:start w:val="1"/>
      <w:numFmt w:val="bullet"/>
      <w:pStyle w:val="NumPara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E172A9A"/>
    <w:multiLevelType w:val="hybridMultilevel"/>
    <w:tmpl w:val="CF8A811A"/>
    <w:lvl w:ilvl="0" w:tplc="629C91C4">
      <w:start w:val="1"/>
      <w:numFmt w:val="decimal"/>
      <w:pStyle w:val="Numpar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57A0F08"/>
    <w:multiLevelType w:val="multilevel"/>
    <w:tmpl w:val="CE2062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6377666"/>
    <w:multiLevelType w:val="hybridMultilevel"/>
    <w:tmpl w:val="E1DE7BAE"/>
    <w:lvl w:ilvl="0" w:tplc="5972EF12">
      <w:start w:val="1"/>
      <w:numFmt w:val="upperLetter"/>
      <w:pStyle w:val="Heading5"/>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F623360"/>
    <w:multiLevelType w:val="multilevel"/>
    <w:tmpl w:val="45100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20"/>
  <w:characterSpacingControl w:val="doNotCompress"/>
  <w:hdrShapeDefaults>
    <o:shapedefaults v:ext="edit" spidmax="30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03058"/>
    <w:rsid w:val="0070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14:docId w14:val="6988D633"/>
  <w15:chartTrackingRefBased/>
  <w15:docId w15:val="{82FE4282-488F-4C58-9574-28F2E650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before="120" w:after="240" w:line="480" w:lineRule="auto"/>
      <w:ind w:right="720" w:firstLine="720"/>
      <w:jc w:val="both"/>
    </w:pPr>
    <w:rPr>
      <w:rFonts w:ascii="Times New Roman" w:hAnsi="Times New Roman"/>
      <w:noProof/>
      <w:sz w:val="28"/>
      <w:szCs w:val="28"/>
    </w:rPr>
  </w:style>
  <w:style w:type="paragraph" w:styleId="Heading1">
    <w:name w:val="heading 1"/>
    <w:basedOn w:val="Normal"/>
    <w:next w:val="Normal"/>
    <w:link w:val="Heading1Char"/>
    <w:uiPriority w:val="9"/>
    <w:qFormat/>
    <w:pPr>
      <w:keepNext/>
      <w:keepLines/>
      <w:spacing w:before="240" w:after="0"/>
      <w:ind w:firstLine="0"/>
      <w:outlineLvl w:val="0"/>
    </w:pPr>
    <w:rPr>
      <w:rFonts w:eastAsiaTheme="majorEastAsia" w:cstheme="majorBidi"/>
      <w:b/>
      <w:bCs/>
      <w:sz w:val="32"/>
      <w:szCs w:val="32"/>
    </w:rPr>
  </w:style>
  <w:style w:type="paragraph" w:styleId="Heading2">
    <w:name w:val="heading 2"/>
    <w:basedOn w:val="Normal"/>
    <w:next w:val="Normal"/>
    <w:link w:val="Heading2Char"/>
    <w:autoRedefine/>
    <w:uiPriority w:val="9"/>
    <w:semiHidden/>
    <w:unhideWhenUsed/>
    <w:qFormat/>
    <w:pPr>
      <w:widowControl/>
      <w:spacing w:after="120" w:line="240" w:lineRule="auto"/>
      <w:ind w:left="1440" w:right="0" w:hanging="720"/>
      <w:jc w:val="left"/>
      <w:outlineLvl w:val="1"/>
    </w:pPr>
    <w:rPr>
      <w:rFonts w:eastAsiaTheme="majorEastAsia" w:cs="Times New Roman"/>
      <w:b/>
    </w:rPr>
  </w:style>
  <w:style w:type="paragraph" w:styleId="Heading3">
    <w:name w:val="heading 3"/>
    <w:basedOn w:val="Normal"/>
    <w:next w:val="Normal"/>
    <w:link w:val="Heading3Char"/>
    <w:uiPriority w:val="9"/>
    <w:semiHidden/>
    <w:unhideWhenUsed/>
    <w:qFormat/>
    <w:pPr>
      <w:keepNext/>
      <w:keepLines/>
      <w:spacing w:before="40" w:after="0"/>
      <w:outlineLvl w:val="2"/>
    </w:pPr>
    <w:rPr>
      <w:rFonts w:eastAsiaTheme="majorEastAsia" w:cstheme="majorBidi"/>
      <w:sz w:val="24"/>
      <w:szCs w:val="24"/>
    </w:rPr>
  </w:style>
  <w:style w:type="paragraph" w:styleId="Heading4">
    <w:name w:val="heading 4"/>
    <w:basedOn w:val="Normal"/>
    <w:link w:val="Heading4Char"/>
    <w:uiPriority w:val="9"/>
    <w:semiHidden/>
    <w:unhideWhenUsed/>
    <w:qFormat/>
    <w:pPr>
      <w:spacing w:before="100" w:beforeAutospacing="1" w:after="100" w:afterAutospacing="1" w:line="240" w:lineRule="auto"/>
      <w:ind w:firstLine="0"/>
      <w:jc w:val="center"/>
      <w:outlineLvl w:val="3"/>
    </w:pPr>
    <w:rPr>
      <w:rFonts w:eastAsia="Times New Roman" w:cs="Times New Roman"/>
      <w:b/>
      <w:bCs/>
      <w:sz w:val="36"/>
      <w:szCs w:val="24"/>
    </w:rPr>
  </w:style>
  <w:style w:type="paragraph" w:styleId="Heading5">
    <w:name w:val="heading 5"/>
    <w:basedOn w:val="Heading3"/>
    <w:next w:val="Normal"/>
    <w:link w:val="Heading5Char"/>
    <w:uiPriority w:val="9"/>
    <w:semiHidden/>
    <w:unhideWhenUsed/>
    <w:qFormat/>
    <w:pPr>
      <w:keepNext w:val="0"/>
      <w:keepLines w:val="0"/>
      <w:numPr>
        <w:numId w:val="1"/>
      </w:numPr>
      <w:spacing w:before="120" w:after="240" w:line="240" w:lineRule="auto"/>
      <w:outlineLvl w:val="4"/>
    </w:pPr>
    <w:rPr>
      <w:rFonts w:eastAsiaTheme="minorEastAsia" w:cs="Times New Roman"/>
      <w:b/>
      <w:sz w:val="28"/>
      <w:szCs w:val="28"/>
    </w:rPr>
  </w:style>
  <w:style w:type="paragraph" w:styleId="Heading8">
    <w:name w:val="heading 8"/>
    <w:basedOn w:val="Normal"/>
    <w:next w:val="Normal"/>
    <w:link w:val="Heading8Char"/>
    <w:uiPriority w:val="99"/>
    <w:semiHidden/>
    <w:unhideWhenUsed/>
    <w:qFormat/>
    <w:pPr>
      <w:keepNext/>
      <w:spacing w:after="0" w:line="240" w:lineRule="auto"/>
      <w:contextualSpacing/>
      <w:jc w:val="center"/>
      <w:outlineLvl w:val="7"/>
    </w:pPr>
    <w:rPr>
      <w:rFonts w:eastAsia="Times New Roman" w:cs="Times New Roman"/>
      <w:szCs w:val="24"/>
    </w:rPr>
  </w:style>
  <w:style w:type="paragraph" w:styleId="Heading9">
    <w:name w:val="heading 9"/>
    <w:basedOn w:val="Normal"/>
    <w:next w:val="Normal"/>
    <w:link w:val="Heading9Char"/>
    <w:uiPriority w:val="9"/>
    <w:semiHidden/>
    <w:unhideWhenUsed/>
    <w:qFormat/>
    <w:pPr>
      <w:keepNext/>
      <w:keepLines/>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noProof/>
      <w:sz w:val="32"/>
      <w:szCs w:val="32"/>
    </w:rPr>
  </w:style>
  <w:style w:type="character" w:customStyle="1" w:styleId="Heading2Char">
    <w:name w:val="Heading 2 Char"/>
    <w:basedOn w:val="DefaultParagraphFont"/>
    <w:link w:val="Heading2"/>
    <w:uiPriority w:val="9"/>
    <w:semiHidden/>
    <w:locked/>
    <w:rPr>
      <w:rFonts w:ascii="Times New Roman" w:eastAsiaTheme="majorEastAsia" w:hAnsi="Times New Roman" w:cs="Times New Roman" w:hint="default"/>
      <w:b/>
      <w:bCs w:val="0"/>
      <w:noProof/>
      <w:sz w:val="28"/>
      <w:szCs w:val="28"/>
    </w:rPr>
  </w:style>
  <w:style w:type="character" w:customStyle="1" w:styleId="Heading3Char">
    <w:name w:val="Heading 3 Char"/>
    <w:basedOn w:val="DefaultParagraphFont"/>
    <w:link w:val="Heading3"/>
    <w:uiPriority w:val="9"/>
    <w:semiHidden/>
    <w:locked/>
    <w:rPr>
      <w:rFonts w:ascii="Times New Roman" w:eastAsiaTheme="majorEastAsia" w:hAnsi="Times New Roman" w:cstheme="majorBidi" w:hint="default"/>
      <w:sz w:val="24"/>
      <w:szCs w:val="24"/>
    </w:rPr>
  </w:style>
  <w:style w:type="character" w:customStyle="1" w:styleId="Heading4Char">
    <w:name w:val="Heading 4 Char"/>
    <w:basedOn w:val="DefaultParagraphFont"/>
    <w:link w:val="Heading4"/>
    <w:uiPriority w:val="9"/>
    <w:semiHidden/>
    <w:locked/>
    <w:rPr>
      <w:rFonts w:ascii="Times New Roman" w:eastAsia="Times New Roman" w:hAnsi="Times New Roman" w:cs="Times New Roman" w:hint="default"/>
      <w:b/>
      <w:bCs/>
      <w:noProof/>
      <w:sz w:val="36"/>
      <w:szCs w:val="24"/>
    </w:rPr>
  </w:style>
  <w:style w:type="character" w:customStyle="1" w:styleId="Heading5Char">
    <w:name w:val="Heading 5 Char"/>
    <w:basedOn w:val="DefaultParagraphFont"/>
    <w:link w:val="Heading5"/>
    <w:uiPriority w:val="9"/>
    <w:semiHidden/>
    <w:locked/>
    <w:rPr>
      <w:rFonts w:ascii="Times New Roman" w:eastAsiaTheme="minorEastAsia" w:hAnsi="Times New Roman" w:cs="Times New Roman"/>
      <w:b/>
      <w:noProo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eastAsia="Times New Roman" w:hAnsi="Courier New" w:cs="Courier New" w:hint="default"/>
    </w:rPr>
  </w:style>
  <w:style w:type="paragraph" w:customStyle="1" w:styleId="msonormal0">
    <w:name w:val="msonormal"/>
    <w:basedOn w:val="Normal"/>
    <w:uiPriority w:val="99"/>
    <w:semiHidden/>
    <w:pPr>
      <w:spacing w:before="100" w:beforeAutospacing="1" w:after="100" w:afterAutospacing="1" w:line="240" w:lineRule="auto"/>
      <w:ind w:firstLine="0"/>
    </w:pPr>
    <w:rPr>
      <w:rFonts w:eastAsiaTheme="minorEastAsia" w:cs="Times New Roman"/>
      <w:sz w:val="24"/>
      <w:szCs w:val="24"/>
    </w:rPr>
  </w:style>
  <w:style w:type="paragraph" w:styleId="NormalWeb">
    <w:name w:val="Normal (Web)"/>
    <w:basedOn w:val="Normal"/>
    <w:uiPriority w:val="99"/>
    <w:semiHidden/>
    <w:unhideWhenUsed/>
    <w:pPr>
      <w:spacing w:before="100" w:beforeAutospacing="1" w:after="100" w:afterAutospacing="1" w:line="240" w:lineRule="auto"/>
      <w:ind w:firstLine="0"/>
    </w:pPr>
    <w:rPr>
      <w:rFonts w:eastAsia="Times New Roman" w:cs="Times New Roman"/>
      <w:sz w:val="24"/>
      <w:szCs w:val="24"/>
    </w:rPr>
  </w:style>
  <w:style w:type="character" w:customStyle="1" w:styleId="Heading8Char">
    <w:name w:val="Heading 8 Char"/>
    <w:basedOn w:val="DefaultParagraphFont"/>
    <w:link w:val="Heading8"/>
    <w:uiPriority w:val="99"/>
    <w:semiHidden/>
    <w:locked/>
    <w:rPr>
      <w:rFonts w:ascii="Times New Roman" w:eastAsia="Times New Roman" w:hAnsi="Times New Roman" w:cs="Times New Roman" w:hint="default"/>
      <w:sz w:val="28"/>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heme="majorBidi" w:hint="default"/>
      <w:i/>
      <w:iCs/>
      <w:color w:val="404040" w:themeColor="text1" w:themeTint="BF"/>
    </w:rPr>
  </w:style>
  <w:style w:type="paragraph" w:styleId="TOC1">
    <w:name w:val="toc 1"/>
    <w:basedOn w:val="Normal"/>
    <w:next w:val="Normal"/>
    <w:autoRedefine/>
    <w:uiPriority w:val="39"/>
    <w:semiHidden/>
    <w:unhideWhenUsed/>
    <w:pPr>
      <w:spacing w:line="360" w:lineRule="auto"/>
    </w:pPr>
    <w:rPr>
      <w:rFonts w:eastAsia="Calibri" w:cs="Times New Roman"/>
    </w:rPr>
  </w:style>
  <w:style w:type="paragraph" w:styleId="TOC2">
    <w:name w:val="toc 2"/>
    <w:basedOn w:val="Normal"/>
    <w:next w:val="Normal"/>
    <w:autoRedefine/>
    <w:uiPriority w:val="39"/>
    <w:semiHidden/>
    <w:unhideWhenUsed/>
    <w:pPr>
      <w:spacing w:line="360" w:lineRule="auto"/>
      <w:ind w:left="280"/>
    </w:pPr>
    <w:rPr>
      <w:rFonts w:eastAsia="Calibri" w:cs="Times New Roman"/>
    </w:rPr>
  </w:style>
  <w:style w:type="paragraph" w:styleId="TOC3">
    <w:name w:val="toc 3"/>
    <w:basedOn w:val="Normal"/>
    <w:next w:val="Normal"/>
    <w:autoRedefine/>
    <w:uiPriority w:val="39"/>
    <w:semiHidden/>
    <w:unhideWhenUsed/>
    <w:pPr>
      <w:spacing w:line="360" w:lineRule="auto"/>
      <w:ind w:left="560"/>
    </w:pPr>
    <w:rPr>
      <w:rFonts w:eastAsia="Calibri" w:cs="Times New Roman"/>
    </w:rPr>
  </w:style>
  <w:style w:type="paragraph" w:styleId="TOC4">
    <w:name w:val="toc 4"/>
    <w:basedOn w:val="Normal"/>
    <w:next w:val="Normal"/>
    <w:autoRedefine/>
    <w:uiPriority w:val="39"/>
    <w:semiHidden/>
    <w:unhideWhenUsed/>
    <w:pPr>
      <w:widowControl/>
      <w:spacing w:before="0" w:after="100" w:line="276" w:lineRule="auto"/>
      <w:ind w:left="660" w:right="0" w:firstLine="0"/>
    </w:pPr>
    <w:rPr>
      <w:rFonts w:asciiTheme="minorHAnsi" w:eastAsiaTheme="minorEastAsia" w:hAnsiTheme="minorHAnsi"/>
      <w:noProof w:val="0"/>
      <w:sz w:val="22"/>
      <w:szCs w:val="22"/>
    </w:rPr>
  </w:style>
  <w:style w:type="paragraph" w:styleId="TOC5">
    <w:name w:val="toc 5"/>
    <w:basedOn w:val="Normal"/>
    <w:next w:val="Normal"/>
    <w:autoRedefine/>
    <w:uiPriority w:val="39"/>
    <w:semiHidden/>
    <w:unhideWhenUsed/>
    <w:pPr>
      <w:widowControl/>
      <w:spacing w:before="0" w:after="100" w:line="276" w:lineRule="auto"/>
      <w:ind w:left="880" w:right="0" w:firstLine="0"/>
    </w:pPr>
    <w:rPr>
      <w:rFonts w:asciiTheme="minorHAnsi" w:eastAsiaTheme="minorEastAsia" w:hAnsiTheme="minorHAnsi"/>
      <w:noProof w:val="0"/>
      <w:sz w:val="22"/>
      <w:szCs w:val="22"/>
    </w:rPr>
  </w:style>
  <w:style w:type="paragraph" w:styleId="TOC6">
    <w:name w:val="toc 6"/>
    <w:basedOn w:val="Normal"/>
    <w:next w:val="Normal"/>
    <w:autoRedefine/>
    <w:uiPriority w:val="39"/>
    <w:semiHidden/>
    <w:unhideWhenUsed/>
    <w:pPr>
      <w:widowControl/>
      <w:spacing w:before="0" w:after="100" w:line="276" w:lineRule="auto"/>
      <w:ind w:left="1100" w:right="0" w:firstLine="0"/>
    </w:pPr>
    <w:rPr>
      <w:rFonts w:asciiTheme="minorHAnsi" w:eastAsiaTheme="minorEastAsia" w:hAnsiTheme="minorHAnsi"/>
      <w:noProof w:val="0"/>
      <w:sz w:val="22"/>
      <w:szCs w:val="22"/>
    </w:rPr>
  </w:style>
  <w:style w:type="paragraph" w:styleId="TOC7">
    <w:name w:val="toc 7"/>
    <w:basedOn w:val="Normal"/>
    <w:next w:val="Normal"/>
    <w:autoRedefine/>
    <w:uiPriority w:val="39"/>
    <w:semiHidden/>
    <w:unhideWhenUsed/>
    <w:pPr>
      <w:widowControl/>
      <w:spacing w:before="0" w:after="100" w:line="276" w:lineRule="auto"/>
      <w:ind w:left="1320" w:right="0" w:firstLine="0"/>
    </w:pPr>
    <w:rPr>
      <w:rFonts w:asciiTheme="minorHAnsi" w:eastAsiaTheme="minorEastAsia" w:hAnsiTheme="minorHAnsi"/>
      <w:noProof w:val="0"/>
      <w:sz w:val="22"/>
      <w:szCs w:val="22"/>
    </w:rPr>
  </w:style>
  <w:style w:type="paragraph" w:styleId="TOC8">
    <w:name w:val="toc 8"/>
    <w:basedOn w:val="Normal"/>
    <w:next w:val="Normal"/>
    <w:autoRedefine/>
    <w:uiPriority w:val="39"/>
    <w:semiHidden/>
    <w:unhideWhenUsed/>
    <w:pPr>
      <w:widowControl/>
      <w:spacing w:before="0" w:after="100" w:line="276" w:lineRule="auto"/>
      <w:ind w:left="1540" w:right="0" w:firstLine="0"/>
    </w:pPr>
    <w:rPr>
      <w:rFonts w:asciiTheme="minorHAnsi" w:eastAsiaTheme="minorEastAsia" w:hAnsiTheme="minorHAnsi"/>
      <w:noProof w:val="0"/>
      <w:sz w:val="22"/>
      <w:szCs w:val="22"/>
    </w:rPr>
  </w:style>
  <w:style w:type="paragraph" w:styleId="TOC9">
    <w:name w:val="toc 9"/>
    <w:basedOn w:val="Normal"/>
    <w:next w:val="Normal"/>
    <w:autoRedefine/>
    <w:uiPriority w:val="39"/>
    <w:semiHidden/>
    <w:unhideWhenUsed/>
    <w:pPr>
      <w:widowControl/>
      <w:spacing w:before="0" w:after="100" w:line="276" w:lineRule="auto"/>
      <w:ind w:left="1760" w:right="0" w:firstLine="0"/>
    </w:pPr>
    <w:rPr>
      <w:rFonts w:asciiTheme="minorHAnsi" w:eastAsiaTheme="minorEastAsia" w:hAnsiTheme="minorHAnsi"/>
      <w:noProof w:val="0"/>
      <w:sz w:val="22"/>
      <w:szCs w:val="22"/>
    </w:rPr>
  </w:style>
  <w:style w:type="paragraph" w:styleId="FootnoteText">
    <w:name w:val="footnote text"/>
    <w:basedOn w:val="Normal"/>
    <w:link w:val="FootnoteTextChar"/>
    <w:uiPriority w:val="99"/>
    <w:semiHidden/>
    <w:unhideWhenUsed/>
    <w:pPr>
      <w:spacing w:before="100" w:beforeAutospacing="1" w:after="100" w:afterAutospacing="1"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locked/>
    <w:rPr>
      <w:rFonts w:ascii="Times New Roman" w:eastAsia="Times New Roman" w:hAnsi="Times New Roman" w:cs="Times New Roman" w:hint="default"/>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locked/>
    <w:rPr>
      <w:rFonts w:ascii="Times New Roman" w:hAnsi="Times New Roman" w:cs="Times New Roman" w:hint="default"/>
      <w:sz w:val="28"/>
      <w:szCs w:val="22"/>
    </w:rPr>
  </w:style>
  <w:style w:type="paragraph" w:styleId="Footer">
    <w:name w:val="footer"/>
    <w:basedOn w:val="Normal"/>
    <w:link w:val="FooterChar"/>
    <w:uiPriority w:val="99"/>
    <w:unhideWhenUsed/>
    <w:pPr>
      <w:tabs>
        <w:tab w:val="center" w:pos="4680"/>
        <w:tab w:val="right" w:pos="9360"/>
      </w:tabs>
      <w:spacing w:before="0" w:after="0" w:line="240" w:lineRule="auto"/>
    </w:pPr>
  </w:style>
  <w:style w:type="character" w:customStyle="1" w:styleId="FooterChar">
    <w:name w:val="Footer Char"/>
    <w:basedOn w:val="DefaultParagraphFont"/>
    <w:link w:val="Footer"/>
    <w:uiPriority w:val="99"/>
    <w:locked/>
    <w:rPr>
      <w:rFonts w:ascii="Times New Roman" w:hAnsi="Times New Roman" w:cs="Times New Roman" w:hint="default"/>
      <w:sz w:val="28"/>
      <w:szCs w:val="22"/>
    </w:rPr>
  </w:style>
  <w:style w:type="paragraph" w:styleId="EndnoteText">
    <w:name w:val="endnote text"/>
    <w:basedOn w:val="Normal"/>
    <w:link w:val="EndnoteTextChar"/>
    <w:uiPriority w:val="99"/>
    <w:semiHidden/>
    <w:unhideWhenUsed/>
    <w:pPr>
      <w:spacing w:after="0" w:line="240" w:lineRule="auto"/>
      <w:ind w:left="10" w:right="60" w:hanging="10"/>
    </w:pPr>
    <w:rPr>
      <w:rFonts w:eastAsia="Times New Roman" w:cs="Times New Roman"/>
      <w:color w:val="000000"/>
      <w:sz w:val="20"/>
      <w:szCs w:val="20"/>
    </w:rPr>
  </w:style>
  <w:style w:type="character" w:customStyle="1" w:styleId="EndnoteTextChar">
    <w:name w:val="Endnote Text Char"/>
    <w:basedOn w:val="DefaultParagraphFont"/>
    <w:link w:val="EndnoteText"/>
    <w:uiPriority w:val="99"/>
    <w:semiHidden/>
    <w:locked/>
    <w:rPr>
      <w:rFonts w:ascii="Times New Roman" w:eastAsia="Times New Roman" w:hAnsi="Times New Roman" w:cs="Times New Roman" w:hint="default"/>
      <w:color w:val="000000"/>
    </w:rPr>
  </w:style>
  <w:style w:type="paragraph" w:styleId="TableofAuthorities">
    <w:name w:val="table of authorities"/>
    <w:basedOn w:val="Normal"/>
    <w:next w:val="Normal"/>
    <w:uiPriority w:val="99"/>
    <w:semiHidden/>
    <w:unhideWhenUsed/>
    <w:pPr>
      <w:spacing w:before="240"/>
      <w:ind w:left="274" w:hanging="274"/>
    </w:pPr>
  </w:style>
  <w:style w:type="paragraph" w:styleId="TOAHeading">
    <w:name w:val="toa heading"/>
    <w:basedOn w:val="Normal"/>
    <w:next w:val="Normal"/>
    <w:autoRedefine/>
    <w:uiPriority w:val="99"/>
    <w:semiHidden/>
    <w:unhideWhenUsed/>
    <w:qFormat/>
    <w:pPr>
      <w:ind w:firstLine="360"/>
    </w:pPr>
    <w:rPr>
      <w:rFonts w:asciiTheme="majorHAnsi" w:eastAsiaTheme="majorEastAsia" w:hAnsiTheme="majorHAnsi" w:cstheme="majorBidi"/>
      <w:b/>
      <w:bCs/>
    </w:rPr>
  </w:style>
  <w:style w:type="paragraph" w:styleId="Title">
    <w:name w:val="Title"/>
    <w:basedOn w:val="Heading8"/>
    <w:next w:val="Normal"/>
    <w:link w:val="TitleChar"/>
    <w:uiPriority w:val="10"/>
    <w:semiHidden/>
    <w:qFormat/>
    <w:pPr>
      <w:ind w:firstLine="0"/>
    </w:pPr>
  </w:style>
  <w:style w:type="character" w:customStyle="1" w:styleId="TitleChar">
    <w:name w:val="Title Char"/>
    <w:basedOn w:val="DefaultParagraphFont"/>
    <w:link w:val="Title"/>
    <w:uiPriority w:val="10"/>
    <w:locked/>
    <w:rPr>
      <w:rFonts w:ascii="Times New Roman" w:eastAsia="Times New Roman" w:hAnsi="Times New Roman" w:cs="Times New Roman" w:hint="default"/>
      <w:sz w:val="28"/>
      <w:szCs w:val="24"/>
    </w:rPr>
  </w:style>
  <w:style w:type="paragraph" w:styleId="BodyText">
    <w:name w:val="Body Text"/>
    <w:basedOn w:val="Normal"/>
    <w:link w:val="BodyTextChar"/>
    <w:uiPriority w:val="99"/>
    <w:semiHidden/>
    <w:unhideWhenUsed/>
    <w:pPr>
      <w:spacing w:after="0" w:line="360" w:lineRule="auto"/>
    </w:pPr>
    <w:rPr>
      <w:rFonts w:eastAsia="Times New Roman" w:cs="Times New Roman"/>
      <w:sz w:val="27"/>
      <w:szCs w:val="24"/>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sz w:val="27"/>
      <w:szCs w:val="24"/>
    </w:rPr>
  </w:style>
  <w:style w:type="paragraph" w:styleId="BodyTextIndent">
    <w:name w:val="Body Text Indent"/>
    <w:basedOn w:val="Normal"/>
    <w:link w:val="BodyTextIndentChar"/>
    <w:uiPriority w:val="99"/>
    <w:semiHidden/>
    <w:unhideWhenUsed/>
    <w:pPr>
      <w:spacing w:line="360" w:lineRule="auto"/>
      <w:ind w:left="360"/>
    </w:pPr>
    <w:rPr>
      <w:rFonts w:eastAsia="Calibri" w:cs="Times New Roman"/>
    </w:rPr>
  </w:style>
  <w:style w:type="character" w:customStyle="1" w:styleId="BodyTextIndentChar">
    <w:name w:val="Body Text Indent Char"/>
    <w:basedOn w:val="DefaultParagraphFont"/>
    <w:link w:val="BodyTextIndent"/>
    <w:uiPriority w:val="99"/>
    <w:semiHidden/>
    <w:locked/>
    <w:rPr>
      <w:rFonts w:ascii="Times New Roman" w:eastAsia="Calibri" w:hAnsi="Times New Roman" w:cs="Times New Roman" w:hint="default"/>
      <w:sz w:val="28"/>
      <w:szCs w:val="28"/>
    </w:rPr>
  </w:style>
  <w:style w:type="paragraph" w:styleId="Subtitle">
    <w:name w:val="Subtitle"/>
    <w:basedOn w:val="Title"/>
    <w:next w:val="Normal"/>
    <w:link w:val="SubtitleChar"/>
    <w:uiPriority w:val="11"/>
    <w:semiHidden/>
    <w:qFormat/>
  </w:style>
  <w:style w:type="character" w:customStyle="1" w:styleId="SubtitleChar">
    <w:name w:val="Subtitle Char"/>
    <w:basedOn w:val="DefaultParagraphFont"/>
    <w:link w:val="Subtitle"/>
    <w:uiPriority w:val="11"/>
    <w:locked/>
    <w:rPr>
      <w:rFonts w:ascii="Times New Roman" w:eastAsia="Times New Roman" w:hAnsi="Times New Roman" w:cs="Times New Roman" w:hint="default"/>
      <w:sz w:val="28"/>
      <w:szCs w:val="24"/>
    </w:rPr>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character" w:customStyle="1" w:styleId="NoSpacingChar">
    <w:name w:val="No Spacing Char"/>
    <w:basedOn w:val="DefaultParagraphFont"/>
    <w:link w:val="NoSpacing"/>
    <w:uiPriority w:val="1"/>
    <w:semiHidden/>
    <w:locked/>
    <w:rPr>
      <w:rFonts w:ascii="Times New Roman" w:eastAsiaTheme="minorEastAsia" w:hAnsi="Times New Roman" w:cs="Times New Roman" w:hint="default"/>
      <w:noProof/>
      <w:sz w:val="28"/>
      <w:szCs w:val="28"/>
    </w:rPr>
  </w:style>
  <w:style w:type="paragraph" w:styleId="NoSpacing">
    <w:name w:val="No Spacing"/>
    <w:link w:val="NoSpacingChar"/>
    <w:autoRedefine/>
    <w:uiPriority w:val="1"/>
    <w:semiHidden/>
    <w:qFormat/>
    <w:pPr>
      <w:framePr w:hSpace="180" w:wrap="around" w:vAnchor="text" w:hAnchor="text" w:y="1"/>
      <w:spacing w:before="120" w:after="120"/>
    </w:pPr>
    <w:rPr>
      <w:rFonts w:ascii="Times New Roman" w:eastAsiaTheme="minorEastAsia" w:hAnsi="Times New Roman" w:cs="Times New Roman"/>
      <w:noProof/>
      <w:sz w:val="28"/>
      <w:szCs w:val="28"/>
    </w:rPr>
  </w:style>
  <w:style w:type="character" w:customStyle="1" w:styleId="ListParagraphChar">
    <w:name w:val="List Paragraph Char"/>
    <w:basedOn w:val="DefaultParagraphFont"/>
    <w:link w:val="ListParagraph"/>
    <w:uiPriority w:val="34"/>
    <w:semiHidden/>
    <w:locked/>
    <w:rPr>
      <w:rFonts w:ascii="Times New Roman" w:eastAsia="Times New Roman" w:hAnsi="Times New Roman" w:cs="Times New Roman"/>
      <w:noProof/>
      <w:sz w:val="24"/>
      <w:szCs w:val="24"/>
    </w:rPr>
  </w:style>
  <w:style w:type="paragraph" w:styleId="ListParagraph">
    <w:name w:val="List Paragraph"/>
    <w:basedOn w:val="Normal"/>
    <w:link w:val="ListParagraphChar"/>
    <w:uiPriority w:val="34"/>
    <w:semiHidden/>
    <w:qFormat/>
    <w:pPr>
      <w:numPr>
        <w:numId w:val="2"/>
      </w:numPr>
      <w:spacing w:before="100" w:beforeAutospacing="1" w:after="100" w:afterAutospacing="1" w:line="240" w:lineRule="auto"/>
      <w:contextualSpacing/>
    </w:pPr>
    <w:rPr>
      <w:rFonts w:eastAsia="Times New Roman" w:cs="Times New Roman"/>
      <w:sz w:val="24"/>
      <w:szCs w:val="24"/>
    </w:rPr>
  </w:style>
  <w:style w:type="paragraph" w:styleId="Quote">
    <w:name w:val="Quote"/>
    <w:basedOn w:val="NoSpacing"/>
    <w:next w:val="Normal"/>
    <w:link w:val="QuoteChar"/>
    <w:autoRedefine/>
    <w:uiPriority w:val="29"/>
    <w:semiHidden/>
    <w:qFormat/>
    <w:pPr>
      <w:framePr w:wrap="around"/>
      <w:ind w:left="720" w:right="720"/>
      <w:jc w:val="both"/>
    </w:pPr>
    <w:rPr>
      <w:bCs/>
      <w:i/>
      <w:iCs/>
      <w:color w:val="404040" w:themeColor="text1" w:themeTint="BF"/>
    </w:rPr>
  </w:style>
  <w:style w:type="character" w:customStyle="1" w:styleId="QuoteChar">
    <w:name w:val="Quote Char"/>
    <w:basedOn w:val="DefaultParagraphFont"/>
    <w:link w:val="Quote"/>
    <w:uiPriority w:val="29"/>
    <w:locked/>
    <w:rPr>
      <w:rFonts w:ascii="Times New Roman" w:eastAsiaTheme="minorEastAsia" w:hAnsi="Times New Roman" w:cs="Times New Roman" w:hint="default"/>
      <w:bCs/>
      <w:i/>
      <w:iCs/>
      <w:noProof/>
      <w:color w:val="404040" w:themeColor="text1" w:themeTint="BF"/>
      <w:sz w:val="28"/>
      <w:szCs w:val="28"/>
    </w:rPr>
  </w:style>
  <w:style w:type="paragraph" w:styleId="IntenseQuote">
    <w:name w:val="Intense Quote"/>
    <w:basedOn w:val="Normal"/>
    <w:next w:val="Normal"/>
    <w:link w:val="IntenseQuoteChar"/>
    <w:autoRedefine/>
    <w:uiPriority w:val="30"/>
    <w:semiHidden/>
    <w:qFormat/>
    <w:pPr>
      <w:pBdr>
        <w:bottom w:val="single" w:sz="4" w:space="4" w:color="4472C4" w:themeColor="accent1"/>
      </w:pBdr>
      <w:spacing w:after="120"/>
      <w:ind w:left="1008" w:right="1008"/>
      <w:textboxTightWrap w:val="allLines"/>
    </w:pPr>
    <w:rPr>
      <w:b/>
      <w:bCs/>
      <w:i/>
      <w:iCs/>
      <w:color w:val="767171" w:themeColor="background2" w:themeShade="80"/>
    </w:rPr>
  </w:style>
  <w:style w:type="character" w:customStyle="1" w:styleId="IntenseQuoteChar">
    <w:name w:val="Intense Quote Char"/>
    <w:basedOn w:val="DefaultParagraphFont"/>
    <w:link w:val="IntenseQuote"/>
    <w:uiPriority w:val="30"/>
    <w:locked/>
    <w:rPr>
      <w:rFonts w:ascii="Times New Roman" w:hAnsi="Times New Roman" w:cs="Times New Roman" w:hint="default"/>
      <w:b/>
      <w:bCs/>
      <w:i/>
      <w:iCs/>
      <w:noProof/>
      <w:color w:val="767171" w:themeColor="background2" w:themeShade="80"/>
      <w:sz w:val="28"/>
      <w:szCs w:val="28"/>
    </w:rPr>
  </w:style>
  <w:style w:type="paragraph" w:styleId="TOCHeading">
    <w:name w:val="TOC Heading"/>
    <w:basedOn w:val="Heading1"/>
    <w:next w:val="Normal"/>
    <w:uiPriority w:val="39"/>
    <w:semiHidden/>
    <w:unhideWhenUsed/>
    <w:qFormat/>
    <w:pPr>
      <w:keepNext w:val="0"/>
      <w:keepLines w:val="0"/>
      <w:spacing w:before="480" w:after="240" w:line="240" w:lineRule="auto"/>
      <w:outlineLvl w:val="9"/>
    </w:pPr>
    <w:rPr>
      <w:color w:val="2F5496" w:themeColor="accent1" w:themeShade="BF"/>
      <w:sz w:val="28"/>
      <w:szCs w:val="28"/>
    </w:rPr>
  </w:style>
  <w:style w:type="paragraph" w:customStyle="1" w:styleId="locationaddress">
    <w:name w:val="location__address"/>
    <w:basedOn w:val="Normal"/>
    <w:uiPriority w:val="99"/>
    <w:semiHidden/>
    <w:pPr>
      <w:spacing w:before="100" w:beforeAutospacing="1" w:after="100" w:afterAutospacing="1" w:line="240" w:lineRule="auto"/>
      <w:ind w:firstLine="0"/>
    </w:pPr>
    <w:rPr>
      <w:rFonts w:eastAsia="Times New Roman" w:cs="Times New Roman"/>
      <w:sz w:val="24"/>
      <w:szCs w:val="24"/>
    </w:rPr>
  </w:style>
  <w:style w:type="character" w:customStyle="1" w:styleId="NumPara1Char">
    <w:name w:val="Num Para 1 Char"/>
    <w:basedOn w:val="DefaultParagraphFont"/>
    <w:link w:val="NumPara1"/>
    <w:uiPriority w:val="99"/>
    <w:semiHidden/>
    <w:locked/>
    <w:rPr>
      <w:rFonts w:ascii="Times New Roman" w:eastAsia="Times New Roman" w:hAnsi="Times New Roman" w:cs="Times New Roman"/>
      <w:noProof/>
      <w:sz w:val="24"/>
      <w:szCs w:val="24"/>
    </w:rPr>
  </w:style>
  <w:style w:type="paragraph" w:customStyle="1" w:styleId="NumPara1">
    <w:name w:val="Num Para 1"/>
    <w:basedOn w:val="ListParagraph"/>
    <w:link w:val="NumPara1Char"/>
    <w:autoRedefine/>
    <w:uiPriority w:val="99"/>
    <w:semiHidden/>
    <w:qFormat/>
    <w:pPr>
      <w:numPr>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240" w:afterAutospacing="0"/>
      <w:contextualSpacing w:val="0"/>
    </w:pPr>
  </w:style>
  <w:style w:type="character" w:customStyle="1" w:styleId="FootnoteChar">
    <w:name w:val="Footnote Char"/>
    <w:basedOn w:val="DefaultParagraphFont"/>
    <w:link w:val="Footnote"/>
    <w:uiPriority w:val="99"/>
    <w:locked/>
    <w:rPr>
      <w:rFonts w:ascii="Times New Roman" w:eastAsia="Times New Roman" w:hAnsi="Times New Roman" w:cs="Times New Roman" w:hint="default"/>
      <w:sz w:val="24"/>
    </w:rPr>
  </w:style>
  <w:style w:type="paragraph" w:customStyle="1" w:styleId="Footnote">
    <w:name w:val="Footnote"/>
    <w:basedOn w:val="FootnoteText"/>
    <w:link w:val="FootnoteChar"/>
    <w:autoRedefine/>
    <w:uiPriority w:val="99"/>
    <w:semiHidden/>
    <w:qFormat/>
    <w:pPr>
      <w:spacing w:before="0" w:beforeAutospacing="0" w:after="0" w:afterAutospacing="0"/>
      <w:ind w:firstLine="0"/>
    </w:pPr>
    <w:rPr>
      <w:sz w:val="24"/>
    </w:rPr>
  </w:style>
  <w:style w:type="paragraph" w:customStyle="1" w:styleId="Default">
    <w:name w:val="Default"/>
    <w:uiPriority w:val="99"/>
    <w:semiHidden/>
    <w:pPr>
      <w:widowControl w:val="0"/>
      <w:autoSpaceDE w:val="0"/>
      <w:autoSpaceDN w:val="0"/>
      <w:adjustRightInd w:val="0"/>
    </w:pPr>
    <w:rPr>
      <w:rFonts w:ascii="Times New Roman" w:eastAsia="Times New Roman" w:hAnsi="Times New Roman" w:cs="Times New Roman"/>
      <w:color w:val="000000"/>
      <w:sz w:val="24"/>
      <w:szCs w:val="24"/>
    </w:rPr>
  </w:style>
  <w:style w:type="character" w:customStyle="1" w:styleId="BulletChar">
    <w:name w:val="Bullet Char"/>
    <w:basedOn w:val="DefaultParagraphFont"/>
    <w:link w:val="Bullet"/>
    <w:uiPriority w:val="99"/>
    <w:semiHidden/>
    <w:locked/>
    <w:rPr>
      <w:rFonts w:ascii="Times New Roman" w:eastAsia="Calibri" w:hAnsi="Times New Roman" w:cs="Times New Roman"/>
      <w:noProof/>
      <w:sz w:val="28"/>
      <w:szCs w:val="28"/>
    </w:rPr>
  </w:style>
  <w:style w:type="paragraph" w:customStyle="1" w:styleId="Bullet">
    <w:name w:val="Bullet"/>
    <w:basedOn w:val="Normal"/>
    <w:link w:val="BulletChar"/>
    <w:uiPriority w:val="99"/>
    <w:semiHidden/>
    <w:qFormat/>
    <w:pPr>
      <w:numPr>
        <w:numId w:val="4"/>
      </w:numPr>
      <w:spacing w:line="360" w:lineRule="auto"/>
      <w:ind w:firstLine="0"/>
    </w:pPr>
    <w:rPr>
      <w:rFonts w:eastAsia="Calibri" w:cs="Times New Roman"/>
    </w:rPr>
  </w:style>
  <w:style w:type="character" w:customStyle="1" w:styleId="Style9Char">
    <w:name w:val="Style9 Char"/>
    <w:basedOn w:val="DefaultParagraphFont"/>
    <w:link w:val="Style9"/>
    <w:locked/>
    <w:rPr>
      <w:rFonts w:ascii="Times New Roman" w:eastAsia="Calibri" w:hAnsi="Times New Roman" w:cs="Times New Roman" w:hint="default"/>
      <w:sz w:val="28"/>
      <w:szCs w:val="28"/>
    </w:rPr>
  </w:style>
  <w:style w:type="paragraph" w:customStyle="1" w:styleId="Style9">
    <w:name w:val="Style9"/>
    <w:basedOn w:val="Normal"/>
    <w:link w:val="Style9Char"/>
    <w:uiPriority w:val="99"/>
    <w:semiHidden/>
    <w:qFormat/>
    <w:pPr>
      <w:spacing w:line="240" w:lineRule="auto"/>
      <w:contextualSpacing/>
    </w:pPr>
    <w:rPr>
      <w:rFonts w:eastAsia="Calibri" w:cs="Times New Roman"/>
    </w:rPr>
  </w:style>
  <w:style w:type="character" w:customStyle="1" w:styleId="footnotedescriptionChar">
    <w:name w:val="footnote description Char"/>
    <w:link w:val="footnotedescription"/>
    <w:locked/>
    <w:rPr>
      <w:rFonts w:ascii="Times New Roman" w:eastAsia="Times New Roman" w:hAnsi="Times New Roman" w:cs="Times New Roman" w:hint="default"/>
      <w:color w:val="000000"/>
      <w:szCs w:val="24"/>
    </w:rPr>
  </w:style>
  <w:style w:type="paragraph" w:customStyle="1" w:styleId="footnotedescription">
    <w:name w:val="footnote description"/>
    <w:next w:val="Normal"/>
    <w:link w:val="footnotedescriptionChar"/>
    <w:uiPriority w:val="99"/>
    <w:semiHidden/>
    <w:pPr>
      <w:spacing w:line="252" w:lineRule="auto"/>
      <w:jc w:val="both"/>
    </w:pPr>
    <w:rPr>
      <w:rFonts w:ascii="Times New Roman" w:eastAsia="Times New Roman" w:hAnsi="Times New Roman" w:cs="Times New Roman"/>
      <w:color w:val="000000"/>
      <w:szCs w:val="24"/>
    </w:rPr>
  </w:style>
  <w:style w:type="character" w:customStyle="1" w:styleId="TOCChar">
    <w:name w:val="TOC Char"/>
    <w:basedOn w:val="DefaultParagraphFont"/>
    <w:link w:val="TOC"/>
    <w:locked/>
    <w:rPr>
      <w:rFonts w:ascii="Times New Roman" w:eastAsiaTheme="majorEastAsia" w:hAnsi="Times New Roman" w:cstheme="majorBidi" w:hint="default"/>
      <w:bCs/>
      <w:color w:val="2F5496" w:themeColor="accent1" w:themeShade="BF"/>
      <w:sz w:val="32"/>
      <w:szCs w:val="28"/>
      <w:lang w:eastAsia="ja-JP"/>
    </w:rPr>
  </w:style>
  <w:style w:type="paragraph" w:customStyle="1" w:styleId="TOC">
    <w:name w:val="TOC"/>
    <w:basedOn w:val="TOCHeading"/>
    <w:link w:val="TOCChar"/>
    <w:autoRedefine/>
    <w:uiPriority w:val="99"/>
    <w:semiHidden/>
    <w:qFormat/>
    <w:pPr>
      <w:keepNext/>
      <w:keepLines/>
      <w:spacing w:before="120" w:after="0" w:line="360" w:lineRule="auto"/>
    </w:pPr>
    <w:rPr>
      <w:b w:val="0"/>
      <w:noProof w:val="0"/>
      <w:sz w:val="32"/>
      <w:lang w:eastAsia="ja-JP"/>
    </w:rPr>
  </w:style>
  <w:style w:type="paragraph" w:customStyle="1" w:styleId="blockquote">
    <w:name w:val="blockquote"/>
    <w:basedOn w:val="Normal"/>
    <w:uiPriority w:val="99"/>
    <w:semiHidden/>
    <w:pPr>
      <w:spacing w:before="100" w:beforeAutospacing="1" w:after="100" w:afterAutospacing="1"/>
    </w:pPr>
  </w:style>
  <w:style w:type="paragraph" w:customStyle="1" w:styleId="paragraph">
    <w:name w:val="paragraph"/>
    <w:basedOn w:val="Normal"/>
    <w:uiPriority w:val="99"/>
    <w:semiHidden/>
    <w:pPr>
      <w:spacing w:before="100" w:beforeAutospacing="1" w:after="100" w:afterAutospacing="1"/>
    </w:pPr>
  </w:style>
  <w:style w:type="character" w:customStyle="1" w:styleId="YearsChar">
    <w:name w:val="Years Char"/>
    <w:basedOn w:val="NoSpacingChar"/>
    <w:link w:val="Years"/>
    <w:locked/>
    <w:rPr>
      <w:rFonts w:ascii="Adobe Gothic Std B" w:eastAsiaTheme="minorEastAsia" w:hAnsi="Adobe Gothic Std B" w:cs="Times New Roman" w:hint="eastAsia"/>
      <w:b/>
      <w:bCs w:val="0"/>
      <w:noProof/>
      <w:sz w:val="32"/>
      <w:szCs w:val="28"/>
    </w:rPr>
  </w:style>
  <w:style w:type="paragraph" w:customStyle="1" w:styleId="Years">
    <w:name w:val="Years"/>
    <w:basedOn w:val="NoSpacing"/>
    <w:link w:val="YearsChar"/>
    <w:uiPriority w:val="99"/>
    <w:semiHidden/>
    <w:pPr>
      <w:framePr w:wrap="around"/>
      <w:widowControl w:val="0"/>
      <w:autoSpaceDE w:val="0"/>
      <w:autoSpaceDN w:val="0"/>
      <w:adjustRightInd w:val="0"/>
    </w:pPr>
    <w:rPr>
      <w:rFonts w:ascii="Adobe Gothic Std B" w:hAnsi="Adobe Gothic Std B"/>
      <w:b/>
      <w:sz w:val="32"/>
    </w:rPr>
  </w:style>
  <w:style w:type="paragraph" w:customStyle="1" w:styleId="areas">
    <w:name w:val="areas"/>
    <w:basedOn w:val="Normal"/>
    <w:uiPriority w:val="99"/>
    <w:semiHidden/>
    <w:pPr>
      <w:widowControl/>
      <w:spacing w:before="100" w:beforeAutospacing="1" w:after="100" w:afterAutospacing="1" w:line="240" w:lineRule="auto"/>
      <w:ind w:right="0" w:firstLine="0"/>
    </w:pPr>
    <w:rPr>
      <w:rFonts w:eastAsia="Times New Roman" w:cs="Times New Roman"/>
      <w:noProof w:val="0"/>
      <w:sz w:val="24"/>
      <w:szCs w:val="24"/>
    </w:rPr>
  </w:style>
  <w:style w:type="character" w:customStyle="1" w:styleId="SectionBreakChar">
    <w:name w:val="Section Break Char"/>
    <w:basedOn w:val="SubtitleChar"/>
    <w:link w:val="SectionBreak"/>
    <w:locked/>
    <w:rPr>
      <w:rFonts w:ascii="Adobe Gothic Std B" w:eastAsia="Adobe Gothic Std B" w:hAnsi="Adobe Gothic Std B" w:cs="Times New Roman" w:hint="eastAsia"/>
      <w:b/>
      <w:bCs w:val="0"/>
      <w:noProof/>
      <w:sz w:val="32"/>
      <w:szCs w:val="24"/>
    </w:rPr>
  </w:style>
  <w:style w:type="paragraph" w:customStyle="1" w:styleId="SectionBreak">
    <w:name w:val="Section Break"/>
    <w:basedOn w:val="Subtitle"/>
    <w:link w:val="SectionBreakChar"/>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pPr>
    <w:rPr>
      <w:rFonts w:ascii="Adobe Gothic Std B" w:eastAsia="Adobe Gothic Std B" w:hAnsi="Adobe Gothic Std B"/>
      <w:b/>
      <w:sz w:val="32"/>
    </w:rPr>
  </w:style>
  <w:style w:type="character" w:customStyle="1" w:styleId="NumparaChar">
    <w:name w:val="Num para Char"/>
    <w:link w:val="Numpara"/>
    <w:uiPriority w:val="99"/>
    <w:semiHidden/>
    <w:locked/>
    <w:rPr>
      <w:rFonts w:ascii="Times New Roman" w:eastAsia="Times New Roman" w:hAnsi="Times New Roman" w:cs="Times New Roman"/>
      <w:sz w:val="28"/>
      <w:szCs w:val="24"/>
    </w:rPr>
  </w:style>
  <w:style w:type="paragraph" w:customStyle="1" w:styleId="Numpara">
    <w:name w:val="Num para"/>
    <w:basedOn w:val="Normal"/>
    <w:link w:val="NumparaChar"/>
    <w:uiPriority w:val="99"/>
    <w:semiHidden/>
    <w:qFormat/>
    <w:pPr>
      <w:numPr>
        <w:numId w:val="5"/>
      </w:numPr>
      <w:autoSpaceDE w:val="0"/>
      <w:autoSpaceDN w:val="0"/>
      <w:adjustRightInd w:val="0"/>
      <w:ind w:left="0" w:right="0" w:firstLine="0"/>
    </w:pPr>
    <w:rPr>
      <w:rFonts w:eastAsia="Times New Roman" w:cs="Times New Roman"/>
      <w:noProof w:val="0"/>
      <w:szCs w:val="24"/>
    </w:rPr>
  </w:style>
  <w:style w:type="character" w:styleId="FootnoteReference">
    <w:name w:val="footnote reference"/>
    <w:basedOn w:val="DefaultParagraphFont"/>
    <w:uiPriority w:val="99"/>
    <w:semiHidden/>
    <w:unhideWhenUsed/>
    <w:rPr>
      <w:vertAlign w:val="superscript"/>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iCs/>
      <w:color w:val="auto"/>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character" w:customStyle="1" w:styleId="wpseo-business-name">
    <w:name w:val="wpseo-business-name"/>
    <w:basedOn w:val="DefaultParagraphFont"/>
  </w:style>
  <w:style w:type="character" w:customStyle="1" w:styleId="locality">
    <w:name w:val="locality"/>
    <w:basedOn w:val="DefaultParagraphFont"/>
  </w:style>
  <w:style w:type="character" w:customStyle="1" w:styleId="postal-code">
    <w:name w:val="postal-code"/>
    <w:basedOn w:val="DefaultParagraphFont"/>
  </w:style>
  <w:style w:type="character" w:customStyle="1" w:styleId="wpseo-phone">
    <w:name w:val="wpseo-phone"/>
    <w:basedOn w:val="DefaultParagraphFont"/>
  </w:style>
  <w:style w:type="character" w:customStyle="1" w:styleId="wpseo-fax">
    <w:name w:val="wpseo-fax"/>
    <w:basedOn w:val="DefaultParagraphFont"/>
  </w:style>
  <w:style w:type="character" w:customStyle="1" w:styleId="tel">
    <w:name w:val="tel"/>
    <w:basedOn w:val="DefaultParagraphFont"/>
  </w:style>
  <w:style w:type="character" w:customStyle="1" w:styleId="locationsetting-title">
    <w:name w:val="location__setting-title"/>
    <w:basedOn w:val="DefaultParagraphFont"/>
  </w:style>
  <w:style w:type="character" w:customStyle="1" w:styleId="luna-example">
    <w:name w:val="luna-example"/>
    <w:basedOn w:val="DefaultParagraphFont"/>
  </w:style>
  <w:style w:type="character" w:customStyle="1" w:styleId="markedcontent">
    <w:name w:val="markedcontent"/>
    <w:basedOn w:val="DefaultParagraphFont"/>
  </w:style>
  <w:style w:type="character" w:customStyle="1" w:styleId="doc-citation-string">
    <w:name w:val="doc-citation-string"/>
    <w:basedOn w:val="DefaultParagraphFont"/>
  </w:style>
  <w:style w:type="character" w:customStyle="1" w:styleId="footnotemark">
    <w:name w:val="footnote mark"/>
    <w:rPr>
      <w:rFonts w:ascii="Times New Roman" w:eastAsia="Times New Roman" w:hAnsi="Times New Roman" w:cs="Times New Roman" w:hint="default"/>
      <w:color w:val="000000"/>
      <w:sz w:val="20"/>
      <w:vertAlign w:val="superscript"/>
    </w:rPr>
  </w:style>
  <w:style w:type="character" w:customStyle="1" w:styleId="big">
    <w:name w:val="big"/>
    <w:basedOn w:val="DefaultParagraphFont"/>
  </w:style>
  <w:style w:type="character" w:customStyle="1" w:styleId="footnotechar0">
    <w:name w:val="footnotechar"/>
    <w:basedOn w:val="DefaultParagraphFont"/>
  </w:style>
  <w:style w:type="character" w:customStyle="1" w:styleId="serif">
    <w:name w:val="serif"/>
    <w:basedOn w:val="DefaultParagraphFont"/>
  </w:style>
  <w:style w:type="character" w:customStyle="1" w:styleId="cite">
    <w:name w:val="cite"/>
    <w:basedOn w:val="DefaultParagraphFont"/>
  </w:style>
  <w:style w:type="character" w:customStyle="1" w:styleId="honorific-prefix">
    <w:name w:val="honorific-prefix"/>
    <w:basedOn w:val="DefaultParagraphFont"/>
  </w:style>
  <w:style w:type="character" w:customStyle="1" w:styleId="given-name">
    <w:name w:val="given-name"/>
    <w:basedOn w:val="DefaultParagraphFont"/>
  </w:style>
  <w:style w:type="character" w:customStyle="1" w:styleId="family-name">
    <w:name w:val="family-name"/>
    <w:basedOn w:val="DefaultParagraphFont"/>
  </w:style>
  <w:style w:type="character" w:customStyle="1" w:styleId="status-text">
    <w:name w:val="status-text"/>
    <w:basedOn w:val="DefaultParagraphFont"/>
  </w:style>
  <w:style w:type="character" w:customStyle="1" w:styleId="label">
    <w:name w:val="label"/>
    <w:basedOn w:val="DefaultParagraphFont"/>
  </w:style>
  <w:style w:type="table" w:styleId="TableGrid">
    <w:name w:val="Table Grid"/>
    <w:basedOn w:val="TableNormal"/>
    <w:uiPriority w:val="39"/>
    <w:semiHidden/>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pPr>
      <w:ind w:firstLine="720"/>
    </w:pPr>
    <w:rPr>
      <w:rFonts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eedlawyer.com/" TargetMode="External"/><Relationship Id="rId18" Type="http://schemas.openxmlformats.org/officeDocument/2006/relationships/image" Target="media/image5.jpg"/><Relationship Id="rId26" Type="http://schemas.openxmlformats.org/officeDocument/2006/relationships/image" Target="media/image10.png"/><Relationship Id="rId39" Type="http://schemas.openxmlformats.org/officeDocument/2006/relationships/hyperlink" Target="http://www.probatemafia.com/Brunsting/RICO%202/3%20Memorandum%20of%20Facts%20Parts%201-5.docx" TargetMode="External"/><Relationship Id="rId21" Type="http://schemas.openxmlformats.org/officeDocument/2006/relationships/image" Target="media/image7.jpg"/><Relationship Id="rId34" Type="http://schemas.openxmlformats.org/officeDocument/2006/relationships/hyperlink" Target="http://www.probatemafia.com/Brunsting/RICO%202/1%20Racketeering%20Case%20Statement.docx" TargetMode="External"/><Relationship Id="rId42" Type="http://schemas.openxmlformats.org/officeDocument/2006/relationships/hyperlink" Target="http://www.probatemafia.com/Brunsting/RICO%202/The%20Brunsting%20Trust%20Controversy%20was%20engineered%20using%20an%20estate%20planning%20bait%20and%20switch.docx"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hyperlink" Target="http://www.probatemafia.com/Brunsting/2024-10-03%20Estate%20of%20Nelva%20Brunsting%20412249%20Claim%20Docket%20Index%20Certified.pdf" TargetMode="External"/><Relationship Id="rId11" Type="http://schemas.openxmlformats.org/officeDocument/2006/relationships/hyperlink" Target="https://www.baylessstokes.com/" TargetMode="External"/><Relationship Id="rId24" Type="http://schemas.openxmlformats.org/officeDocument/2006/relationships/image" Target="media/image9.png"/><Relationship Id="rId32" Type="http://schemas.openxmlformats.org/officeDocument/2006/relationships/hyperlink" Target="http://www.probatemafia.com/Brunsting/2024-12-11%20Affidavit%20of%20Witness%20Rik%20Munson.htm" TargetMode="External"/><Relationship Id="rId37" Type="http://schemas.openxmlformats.org/officeDocument/2006/relationships/hyperlink" Target="http://www.probatemafia.com/Brunsting/RICO%202/2024-08-08%20Unsworn%20Declaration%20of%20Witness%20Rik%20Munson.pdf" TargetMode="External"/><Relationship Id="rId40" Type="http://schemas.openxmlformats.org/officeDocument/2006/relationships/hyperlink" Target="http://www.probatemafia.com/Brunsting/RICO%202/4%20Appendix%20A%20List%20of%20Exhibits.docx" TargetMode="External"/><Relationship Id="rId45" Type="http://schemas.openxmlformats.org/officeDocument/2006/relationships/hyperlink" Target="http://www.probatemafia.com/Brunsting/RICO%202/To%20whom%20it%20may%20concern.docx"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tel:2817593213" TargetMode="External"/><Relationship Id="rId19" Type="http://schemas.openxmlformats.org/officeDocument/2006/relationships/image" Target="media/image6.jpg"/><Relationship Id="rId31" Type="http://schemas.openxmlformats.org/officeDocument/2006/relationships/hyperlink" Target="http://www.probatemafia.com/Brunsting/2013-04-09%20Case%20%204-12-cv-592%20Injunction%20Hearing%20Transcript-Hoyt.pdf" TargetMode="External"/><Relationship Id="rId44" Type="http://schemas.openxmlformats.org/officeDocument/2006/relationships/hyperlink" Target="http://www.probatemafia.com/Brunsting/RICO%202/They%20have%20not%20produced%20the%20Heinous%20Extortion%20Instrument.docx"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image" Target="media/image8.jpg"/><Relationship Id="rId27" Type="http://schemas.openxmlformats.org/officeDocument/2006/relationships/hyperlink" Target="https://www.craincaton.com/" TargetMode="External"/><Relationship Id="rId30" Type="http://schemas.openxmlformats.org/officeDocument/2006/relationships/hyperlink" Target="http://www.probatemafia.com/Brunsting/How%20to%20steal%20your%20family%20inheritance.pdf" TargetMode="External"/><Relationship Id="rId35" Type="http://schemas.openxmlformats.org/officeDocument/2006/relationships/hyperlink" Target="http://www.probatemafia.com/Brunsting/RICO%202/2%20Curtis%20Curtis%20Curtis%20RICO_Complaint%20draft.docx" TargetMode="External"/><Relationship Id="rId43" Type="http://schemas.openxmlformats.org/officeDocument/2006/relationships/hyperlink" Target="http://www.probatemafia.com/Brunsting/RICO%202/The%20Probate%20Mafia%20and%20the%20Brunsting%20Family%20Trust.pdf" TargetMode="External"/><Relationship Id="rId48" Type="http://schemas.openxmlformats.org/officeDocument/2006/relationships/footer" Target="footer1.xml"/><Relationship Id="rId8" Type="http://schemas.openxmlformats.org/officeDocument/2006/relationships/hyperlink" Target="https://www.mendellawfirm.com/"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grifmatlaw.com/" TargetMode="External"/><Relationship Id="rId25" Type="http://schemas.openxmlformats.org/officeDocument/2006/relationships/hyperlink" Target="https://riddlebutts.com/attorneys/" TargetMode="External"/><Relationship Id="rId33" Type="http://schemas.openxmlformats.org/officeDocument/2006/relationships/hyperlink" Target="mailto:blowintough@att.net" TargetMode="External"/><Relationship Id="rId38" Type="http://schemas.openxmlformats.org/officeDocument/2006/relationships/hyperlink" Target="http://www.probatemafia.com/Brunsting/RICO%202/2025-04-18%20Amended%20NOH.Status%20Conference%20June%202%202025%202pm.pdf" TargetMode="External"/><Relationship Id="rId46" Type="http://schemas.openxmlformats.org/officeDocument/2006/relationships/header" Target="header1.xml"/><Relationship Id="rId20" Type="http://schemas.openxmlformats.org/officeDocument/2006/relationships/hyperlink" Target="https://www.texasbar.com/AM/Template.cfm?Section=Find_A_Lawyer&amp;template=/Customsource/MemberDirectory/MemberDirectoryDetail.cfm&amp;ContactID=176314" TargetMode="External"/><Relationship Id="rId41" Type="http://schemas.openxmlformats.org/officeDocument/2006/relationships/hyperlink" Target="http://www.probatemafia.com/Brunsting/RICO%202/Exhibi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awyers.justia.com/lawyer/bernard-lilse-mathews-iii-1412727" TargetMode="External"/><Relationship Id="rId23" Type="http://schemas.openxmlformats.org/officeDocument/2006/relationships/hyperlink" Target="https://riddlebutts.com/attorneys/" TargetMode="External"/><Relationship Id="rId28" Type="http://schemas.openxmlformats.org/officeDocument/2006/relationships/image" Target="media/image11.jpg"/><Relationship Id="rId36" Type="http://schemas.openxmlformats.org/officeDocument/2006/relationships/hyperlink" Target="http://www.probatemafia.com/Brunsting/RICO%202/2019-04-12%20Verified%20Affidavit%20of%20Candace%20Curtis%204-12-cv-592.pdf" TargetMode="External"/><Relationship Id="rId4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C48CA98-6DDB-4E19-8DD6-B408CC81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2228</Words>
  <Characters>14170</Characters>
  <Application>Microsoft Office Word</Application>
  <DocSecurity>0</DocSecurity>
  <Lines>118</Lines>
  <Paragraphs>32</Paragraphs>
  <ScaleCrop>false</ScaleCrop>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dc:creator>
  <cp:keywords/>
  <dc:description/>
  <cp:lastModifiedBy>Luis Cypher</cp:lastModifiedBy>
  <cp:revision>2</cp:revision>
  <dcterms:created xsi:type="dcterms:W3CDTF">2026-04-12T18:04:00Z</dcterms:created>
  <dcterms:modified xsi:type="dcterms:W3CDTF">2026-04-12T18:04:00Z</dcterms:modified>
</cp:coreProperties>
</file>