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FD11B" w14:textId="77777777" w:rsidR="00242FC7" w:rsidRPr="00242FC7" w:rsidRDefault="00242FC7" w:rsidP="00242FC7">
      <w:pPr>
        <w:spacing w:before="100" w:beforeAutospacing="1" w:after="100" w:afterAutospacing="1" w:line="240" w:lineRule="auto"/>
        <w:ind w:firstLine="0"/>
        <w:outlineLvl w:val="0"/>
        <w:rPr>
          <w:b/>
          <w:bCs/>
          <w:kern w:val="36"/>
          <w:sz w:val="48"/>
          <w:szCs w:val="48"/>
        </w:rPr>
      </w:pPr>
      <w:r w:rsidRPr="00242FC7">
        <w:rPr>
          <w:b/>
          <w:bCs/>
          <w:kern w:val="36"/>
          <w:sz w:val="48"/>
          <w:szCs w:val="48"/>
        </w:rPr>
        <w:t>TABLE OF EXHIBITS</w:t>
      </w:r>
    </w:p>
    <w:p w14:paraId="3445AFE2" w14:textId="77777777" w:rsidR="00242FC7" w:rsidRPr="00242FC7" w:rsidRDefault="00242FC7" w:rsidP="00242FC7">
      <w:pPr>
        <w:spacing w:before="100" w:beforeAutospacing="1" w:after="100" w:afterAutospacing="1" w:line="240" w:lineRule="auto"/>
        <w:ind w:firstLine="0"/>
      </w:pPr>
      <w:r w:rsidRPr="00242FC7">
        <w:rPr>
          <w:b/>
          <w:bCs/>
        </w:rPr>
        <w:t>Page 3</w:t>
      </w:r>
    </w:p>
    <w:p w14:paraId="707937FB" w14:textId="77777777" w:rsidR="00242FC7" w:rsidRPr="00242FC7" w:rsidRDefault="00242FC7" w:rsidP="00242FC7">
      <w:pPr>
        <w:numPr>
          <w:ilvl w:val="0"/>
          <w:numId w:val="7"/>
        </w:numPr>
        <w:spacing w:before="100" w:beforeAutospacing="1" w:after="100" w:afterAutospacing="1" w:line="240" w:lineRule="auto"/>
        <w:ind w:left="0" w:firstLine="0"/>
        <w:outlineLvl w:val="2"/>
        <w:rPr>
          <w:b/>
          <w:bCs/>
          <w:sz w:val="27"/>
          <w:szCs w:val="27"/>
        </w:rPr>
      </w:pPr>
      <w:r w:rsidRPr="00242FC7">
        <w:rPr>
          <w:b/>
          <w:bCs/>
          <w:sz w:val="27"/>
          <w:szCs w:val="27"/>
        </w:rPr>
        <w:t>Estate of Elmer H. Brunsting (Cause No. 412,248)</w:t>
      </w:r>
    </w:p>
    <w:p w14:paraId="756591F0" w14:textId="77777777" w:rsidR="00242FC7" w:rsidRPr="00242FC7" w:rsidRDefault="00242FC7" w:rsidP="00242FC7">
      <w:pPr>
        <w:numPr>
          <w:ilvl w:val="0"/>
          <w:numId w:val="8"/>
        </w:numPr>
        <w:spacing w:before="100" w:beforeAutospacing="1" w:after="100" w:afterAutospacing="1" w:line="240" w:lineRule="auto"/>
      </w:pPr>
      <w:r w:rsidRPr="00242FC7">
        <w:rPr>
          <w:b/>
          <w:bCs/>
        </w:rPr>
        <w:t>Exhibit 11</w:t>
      </w:r>
      <w:r w:rsidRPr="00242FC7">
        <w:t xml:space="preserve"> – Proof of Death and Other Facts (2012)</w:t>
      </w:r>
    </w:p>
    <w:p w14:paraId="549CAAD5" w14:textId="77777777" w:rsidR="00242FC7" w:rsidRPr="00242FC7" w:rsidRDefault="00242FC7" w:rsidP="00242FC7">
      <w:pPr>
        <w:numPr>
          <w:ilvl w:val="0"/>
          <w:numId w:val="8"/>
        </w:numPr>
        <w:spacing w:before="100" w:beforeAutospacing="1" w:after="100" w:afterAutospacing="1" w:line="240" w:lineRule="auto"/>
      </w:pPr>
      <w:r w:rsidRPr="00242FC7">
        <w:rPr>
          <w:b/>
          <w:bCs/>
        </w:rPr>
        <w:t>Exhibit 12</w:t>
      </w:r>
      <w:r w:rsidRPr="00242FC7">
        <w:t xml:space="preserve"> – Last Will and Testament (2005)</w:t>
      </w:r>
    </w:p>
    <w:p w14:paraId="195296F5" w14:textId="77777777" w:rsidR="00242FC7" w:rsidRPr="00242FC7" w:rsidRDefault="00242FC7" w:rsidP="00242FC7">
      <w:pPr>
        <w:numPr>
          <w:ilvl w:val="0"/>
          <w:numId w:val="8"/>
        </w:numPr>
        <w:spacing w:before="100" w:beforeAutospacing="1" w:after="100" w:afterAutospacing="1" w:line="240" w:lineRule="auto"/>
      </w:pPr>
      <w:r w:rsidRPr="00242FC7">
        <w:rPr>
          <w:b/>
          <w:bCs/>
        </w:rPr>
        <w:t>Exhibit 13</w:t>
      </w:r>
      <w:r w:rsidRPr="00242FC7">
        <w:t xml:space="preserve"> – Order Admitting Will &amp; Issuing Letters (2012)</w:t>
      </w:r>
    </w:p>
    <w:p w14:paraId="1075E5DC" w14:textId="77777777" w:rsidR="00242FC7" w:rsidRPr="00242FC7" w:rsidRDefault="00242FC7" w:rsidP="00242FC7">
      <w:pPr>
        <w:numPr>
          <w:ilvl w:val="0"/>
          <w:numId w:val="8"/>
        </w:numPr>
        <w:spacing w:before="100" w:beforeAutospacing="1" w:after="100" w:afterAutospacing="1" w:line="240" w:lineRule="auto"/>
      </w:pPr>
      <w:r w:rsidRPr="00242FC7">
        <w:rPr>
          <w:b/>
          <w:bCs/>
        </w:rPr>
        <w:t>Exhibit 14</w:t>
      </w:r>
      <w:r w:rsidRPr="00242FC7">
        <w:t xml:space="preserve"> – Inventory, Appraisement &amp; List of Claims + Order Approving Inventory (2013)</w:t>
      </w:r>
    </w:p>
    <w:p w14:paraId="15FFECE2" w14:textId="77777777" w:rsidR="00242FC7" w:rsidRPr="00242FC7" w:rsidRDefault="00242FC7" w:rsidP="00242FC7">
      <w:pPr>
        <w:numPr>
          <w:ilvl w:val="0"/>
          <w:numId w:val="8"/>
        </w:numPr>
        <w:spacing w:before="100" w:beforeAutospacing="1" w:after="100" w:afterAutospacing="1" w:line="240" w:lineRule="auto"/>
      </w:pPr>
      <w:r w:rsidRPr="00242FC7">
        <w:rPr>
          <w:b/>
          <w:bCs/>
        </w:rPr>
        <w:t>Exhibit 15</w:t>
      </w:r>
      <w:r w:rsidRPr="00242FC7">
        <w:t xml:space="preserve"> – Drop Order (2013)</w:t>
      </w:r>
    </w:p>
    <w:p w14:paraId="162F6A47" w14:textId="77777777" w:rsidR="00242FC7" w:rsidRPr="00242FC7" w:rsidRDefault="00242FC7" w:rsidP="00242FC7">
      <w:pPr>
        <w:numPr>
          <w:ilvl w:val="0"/>
          <w:numId w:val="8"/>
        </w:numPr>
        <w:spacing w:before="100" w:beforeAutospacing="1" w:after="100" w:afterAutospacing="1" w:line="240" w:lineRule="auto"/>
      </w:pPr>
      <w:r w:rsidRPr="00242FC7">
        <w:rPr>
          <w:b/>
          <w:bCs/>
        </w:rPr>
        <w:t>Exhibit 16</w:t>
      </w:r>
      <w:r w:rsidRPr="00242FC7">
        <w:t xml:space="preserve"> – Claim Docket Index (2024)</w:t>
      </w:r>
    </w:p>
    <w:p w14:paraId="340CE6E8" w14:textId="77777777" w:rsidR="00242FC7" w:rsidRPr="00242FC7" w:rsidRDefault="00242FC7" w:rsidP="00242FC7">
      <w:pPr>
        <w:numPr>
          <w:ilvl w:val="0"/>
          <w:numId w:val="7"/>
        </w:numPr>
        <w:spacing w:before="100" w:beforeAutospacing="1" w:after="100" w:afterAutospacing="1" w:line="240" w:lineRule="auto"/>
        <w:ind w:left="0" w:firstLine="0"/>
        <w:outlineLvl w:val="2"/>
        <w:rPr>
          <w:b/>
          <w:bCs/>
          <w:sz w:val="27"/>
          <w:szCs w:val="27"/>
        </w:rPr>
      </w:pPr>
      <w:r w:rsidRPr="00242FC7">
        <w:rPr>
          <w:b/>
          <w:bCs/>
          <w:sz w:val="27"/>
          <w:szCs w:val="27"/>
        </w:rPr>
        <w:t>Estate of Nelva E. Brunsting (Cause No. 412,249)</w:t>
      </w:r>
    </w:p>
    <w:p w14:paraId="6E032633" w14:textId="77777777" w:rsidR="00242FC7" w:rsidRPr="00242FC7" w:rsidRDefault="00242FC7" w:rsidP="00242FC7">
      <w:pPr>
        <w:numPr>
          <w:ilvl w:val="0"/>
          <w:numId w:val="9"/>
        </w:numPr>
        <w:spacing w:before="100" w:beforeAutospacing="1" w:after="100" w:afterAutospacing="1" w:line="240" w:lineRule="auto"/>
      </w:pPr>
      <w:r w:rsidRPr="00242FC7">
        <w:rPr>
          <w:b/>
          <w:bCs/>
        </w:rPr>
        <w:t>Exhibit 21</w:t>
      </w:r>
      <w:r w:rsidRPr="00242FC7">
        <w:t xml:space="preserve"> – Proof of Death and Other Facts (2012)</w:t>
      </w:r>
    </w:p>
    <w:p w14:paraId="09DD5D27" w14:textId="77777777" w:rsidR="00242FC7" w:rsidRPr="00242FC7" w:rsidRDefault="00242FC7" w:rsidP="00242FC7">
      <w:pPr>
        <w:numPr>
          <w:ilvl w:val="0"/>
          <w:numId w:val="9"/>
        </w:numPr>
        <w:spacing w:before="100" w:beforeAutospacing="1" w:after="100" w:afterAutospacing="1" w:line="240" w:lineRule="auto"/>
      </w:pPr>
      <w:r w:rsidRPr="00242FC7">
        <w:rPr>
          <w:b/>
          <w:bCs/>
        </w:rPr>
        <w:t>Exhibit 22</w:t>
      </w:r>
      <w:r w:rsidRPr="00242FC7">
        <w:t xml:space="preserve"> – Last Will and Testament (2005)</w:t>
      </w:r>
    </w:p>
    <w:p w14:paraId="0C4B66EE" w14:textId="77777777" w:rsidR="00242FC7" w:rsidRPr="00242FC7" w:rsidRDefault="00242FC7" w:rsidP="00242FC7">
      <w:pPr>
        <w:numPr>
          <w:ilvl w:val="0"/>
          <w:numId w:val="9"/>
        </w:numPr>
        <w:spacing w:before="100" w:beforeAutospacing="1" w:after="100" w:afterAutospacing="1" w:line="240" w:lineRule="auto"/>
      </w:pPr>
      <w:r w:rsidRPr="00242FC7">
        <w:rPr>
          <w:b/>
          <w:bCs/>
        </w:rPr>
        <w:t>Exhibit 23</w:t>
      </w:r>
      <w:r w:rsidRPr="00242FC7">
        <w:t xml:space="preserve"> – Order Admitting Will &amp; Issuing Letters (2012)</w:t>
      </w:r>
    </w:p>
    <w:p w14:paraId="43B8700F" w14:textId="77777777" w:rsidR="00242FC7" w:rsidRPr="00242FC7" w:rsidRDefault="00242FC7" w:rsidP="00242FC7">
      <w:pPr>
        <w:numPr>
          <w:ilvl w:val="0"/>
          <w:numId w:val="9"/>
        </w:numPr>
        <w:spacing w:before="100" w:beforeAutospacing="1" w:after="100" w:afterAutospacing="1" w:line="240" w:lineRule="auto"/>
      </w:pPr>
      <w:r w:rsidRPr="00242FC7">
        <w:rPr>
          <w:b/>
          <w:bCs/>
        </w:rPr>
        <w:t>Exhibit 24</w:t>
      </w:r>
      <w:r w:rsidRPr="00242FC7">
        <w:t xml:space="preserve"> – Inventory, Appraisement &amp; List of Claims + Order Approving Inventory (2013)</w:t>
      </w:r>
    </w:p>
    <w:p w14:paraId="15AFC0C0" w14:textId="77777777" w:rsidR="00242FC7" w:rsidRPr="00242FC7" w:rsidRDefault="00242FC7" w:rsidP="00242FC7">
      <w:pPr>
        <w:numPr>
          <w:ilvl w:val="0"/>
          <w:numId w:val="9"/>
        </w:numPr>
        <w:spacing w:before="100" w:beforeAutospacing="1" w:after="100" w:afterAutospacing="1" w:line="240" w:lineRule="auto"/>
      </w:pPr>
      <w:r w:rsidRPr="00242FC7">
        <w:rPr>
          <w:b/>
          <w:bCs/>
        </w:rPr>
        <w:t>Exhibit 25</w:t>
      </w:r>
      <w:r w:rsidRPr="00242FC7">
        <w:t xml:space="preserve"> – Duplicate Order Approving Inventory (2013)</w:t>
      </w:r>
    </w:p>
    <w:p w14:paraId="12823C4D" w14:textId="77777777" w:rsidR="00242FC7" w:rsidRPr="00242FC7" w:rsidRDefault="00242FC7" w:rsidP="00242FC7">
      <w:pPr>
        <w:numPr>
          <w:ilvl w:val="0"/>
          <w:numId w:val="9"/>
        </w:numPr>
        <w:spacing w:before="100" w:beforeAutospacing="1" w:after="100" w:afterAutospacing="1" w:line="240" w:lineRule="auto"/>
      </w:pPr>
      <w:r w:rsidRPr="00242FC7">
        <w:rPr>
          <w:b/>
          <w:bCs/>
        </w:rPr>
        <w:t>Exhibit 26</w:t>
      </w:r>
      <w:r w:rsidRPr="00242FC7">
        <w:t xml:space="preserve"> – Drop Order (2013)</w:t>
      </w:r>
    </w:p>
    <w:p w14:paraId="29501271" w14:textId="77777777" w:rsidR="00242FC7" w:rsidRPr="00242FC7" w:rsidRDefault="00242FC7" w:rsidP="00242FC7">
      <w:pPr>
        <w:numPr>
          <w:ilvl w:val="0"/>
          <w:numId w:val="9"/>
        </w:numPr>
        <w:spacing w:before="100" w:beforeAutospacing="1" w:after="100" w:afterAutospacing="1" w:line="240" w:lineRule="auto"/>
      </w:pPr>
      <w:r w:rsidRPr="00242FC7">
        <w:rPr>
          <w:b/>
          <w:bCs/>
        </w:rPr>
        <w:t>Exhibit 27</w:t>
      </w:r>
      <w:r w:rsidRPr="00242FC7">
        <w:t xml:space="preserve"> – Claim Docket Index (2024)</w:t>
      </w:r>
    </w:p>
    <w:p w14:paraId="7FE042ED" w14:textId="77777777" w:rsidR="00242FC7" w:rsidRPr="00242FC7" w:rsidRDefault="00242FC7" w:rsidP="00242FC7">
      <w:pPr>
        <w:numPr>
          <w:ilvl w:val="0"/>
          <w:numId w:val="7"/>
        </w:numPr>
        <w:spacing w:before="100" w:beforeAutospacing="1" w:after="100" w:afterAutospacing="1" w:line="240" w:lineRule="auto"/>
        <w:ind w:left="0" w:firstLine="0"/>
        <w:outlineLvl w:val="2"/>
        <w:rPr>
          <w:b/>
          <w:bCs/>
          <w:sz w:val="27"/>
          <w:szCs w:val="27"/>
        </w:rPr>
      </w:pPr>
      <w:r w:rsidRPr="00242FC7">
        <w:rPr>
          <w:b/>
          <w:bCs/>
          <w:sz w:val="27"/>
          <w:szCs w:val="27"/>
        </w:rPr>
        <w:t>Trust Instruments (1996–2010)</w:t>
      </w:r>
    </w:p>
    <w:p w14:paraId="5974820C" w14:textId="77777777" w:rsidR="00242FC7" w:rsidRPr="00242FC7" w:rsidRDefault="00242FC7" w:rsidP="00242FC7">
      <w:pPr>
        <w:numPr>
          <w:ilvl w:val="0"/>
          <w:numId w:val="10"/>
        </w:numPr>
        <w:spacing w:before="100" w:beforeAutospacing="1" w:after="100" w:afterAutospacing="1" w:line="240" w:lineRule="auto"/>
      </w:pPr>
      <w:r w:rsidRPr="00242FC7">
        <w:rPr>
          <w:b/>
          <w:bCs/>
        </w:rPr>
        <w:t>Exhibits 31–324</w:t>
      </w:r>
      <w:r w:rsidRPr="00242FC7">
        <w:t xml:space="preserve"> – Original Trust, Amendments, Certificates of Trust, QBDs, POAs, Notary Logs, Trustee Appointments, Resignations</w:t>
      </w:r>
    </w:p>
    <w:p w14:paraId="65ADDB40" w14:textId="77777777" w:rsidR="00242FC7" w:rsidRPr="00242FC7" w:rsidRDefault="00242FC7" w:rsidP="00242FC7">
      <w:pPr>
        <w:numPr>
          <w:ilvl w:val="0"/>
          <w:numId w:val="7"/>
        </w:numPr>
        <w:spacing w:before="100" w:beforeAutospacing="1" w:after="100" w:afterAutospacing="1" w:line="240" w:lineRule="auto"/>
        <w:ind w:left="0" w:firstLine="0"/>
        <w:outlineLvl w:val="2"/>
        <w:rPr>
          <w:b/>
          <w:bCs/>
          <w:sz w:val="27"/>
          <w:szCs w:val="27"/>
        </w:rPr>
      </w:pPr>
      <w:r w:rsidRPr="00242FC7">
        <w:rPr>
          <w:b/>
          <w:bCs/>
          <w:sz w:val="27"/>
          <w:szCs w:val="27"/>
        </w:rPr>
        <w:t>Federal Litigation &amp; Related Filings</w:t>
      </w:r>
    </w:p>
    <w:p w14:paraId="59C11EBC" w14:textId="77777777" w:rsidR="00242FC7" w:rsidRPr="00242FC7" w:rsidRDefault="00242FC7" w:rsidP="00242FC7">
      <w:pPr>
        <w:numPr>
          <w:ilvl w:val="0"/>
          <w:numId w:val="11"/>
        </w:numPr>
        <w:spacing w:before="100" w:beforeAutospacing="1" w:after="100" w:afterAutospacing="1" w:line="240" w:lineRule="auto"/>
      </w:pPr>
      <w:r w:rsidRPr="00242FC7">
        <w:rPr>
          <w:b/>
          <w:bCs/>
        </w:rPr>
        <w:t>Exhibit 41</w:t>
      </w:r>
      <w:r w:rsidRPr="00242FC7">
        <w:t xml:space="preserve"> – Curtis v. Brunsting Complaint (2012)</w:t>
      </w:r>
    </w:p>
    <w:p w14:paraId="60C4EF22" w14:textId="77777777" w:rsidR="00242FC7" w:rsidRPr="00242FC7" w:rsidRDefault="00242FC7" w:rsidP="00242FC7">
      <w:pPr>
        <w:numPr>
          <w:ilvl w:val="0"/>
          <w:numId w:val="11"/>
        </w:numPr>
        <w:spacing w:before="100" w:beforeAutospacing="1" w:after="100" w:afterAutospacing="1" w:line="240" w:lineRule="auto"/>
      </w:pPr>
      <w:r w:rsidRPr="00242FC7">
        <w:rPr>
          <w:b/>
          <w:bCs/>
        </w:rPr>
        <w:t>Exhibit 42</w:t>
      </w:r>
      <w:r w:rsidRPr="00242FC7">
        <w:t xml:space="preserve"> – Amy Brunsting Affidavit (2012)</w:t>
      </w:r>
    </w:p>
    <w:p w14:paraId="7E16C736" w14:textId="77777777" w:rsidR="00242FC7" w:rsidRPr="00242FC7" w:rsidRDefault="00242FC7" w:rsidP="00242FC7">
      <w:pPr>
        <w:numPr>
          <w:ilvl w:val="0"/>
          <w:numId w:val="11"/>
        </w:numPr>
        <w:spacing w:before="100" w:beforeAutospacing="1" w:after="100" w:afterAutospacing="1" w:line="240" w:lineRule="auto"/>
      </w:pPr>
      <w:r w:rsidRPr="00242FC7">
        <w:rPr>
          <w:b/>
          <w:bCs/>
        </w:rPr>
        <w:t>Exhibit 43</w:t>
      </w:r>
      <w:r w:rsidRPr="00242FC7">
        <w:t xml:space="preserve"> – Emergency Motion to Remove Lis Pendens (2012)</w:t>
      </w:r>
    </w:p>
    <w:p w14:paraId="4AE556FB" w14:textId="77777777" w:rsidR="00242FC7" w:rsidRPr="00242FC7" w:rsidRDefault="00242FC7" w:rsidP="00242FC7">
      <w:pPr>
        <w:numPr>
          <w:ilvl w:val="0"/>
          <w:numId w:val="11"/>
        </w:numPr>
        <w:spacing w:before="100" w:beforeAutospacing="1" w:after="100" w:afterAutospacing="1" w:line="240" w:lineRule="auto"/>
      </w:pPr>
      <w:r w:rsidRPr="00242FC7">
        <w:rPr>
          <w:b/>
          <w:bCs/>
        </w:rPr>
        <w:t>Exhibit 44</w:t>
      </w:r>
      <w:r w:rsidRPr="00242FC7">
        <w:t xml:space="preserve"> – Fifth Circuit Opinion (2013)</w:t>
      </w:r>
    </w:p>
    <w:p w14:paraId="5B46B878" w14:textId="77777777" w:rsidR="00242FC7" w:rsidRPr="00242FC7" w:rsidRDefault="00242FC7" w:rsidP="00242FC7">
      <w:pPr>
        <w:numPr>
          <w:ilvl w:val="0"/>
          <w:numId w:val="11"/>
        </w:numPr>
        <w:spacing w:before="100" w:beforeAutospacing="1" w:after="100" w:afterAutospacing="1" w:line="240" w:lineRule="auto"/>
      </w:pPr>
      <w:r w:rsidRPr="00242FC7">
        <w:rPr>
          <w:b/>
          <w:bCs/>
        </w:rPr>
        <w:t>Exhibit 44a</w:t>
      </w:r>
      <w:r w:rsidRPr="00242FC7">
        <w:t xml:space="preserve"> – Bayless Email Chain (2013)</w:t>
      </w:r>
    </w:p>
    <w:p w14:paraId="431FB2E7" w14:textId="77777777" w:rsidR="00242FC7" w:rsidRPr="00242FC7" w:rsidRDefault="00242FC7" w:rsidP="00242FC7">
      <w:pPr>
        <w:numPr>
          <w:ilvl w:val="0"/>
          <w:numId w:val="11"/>
        </w:numPr>
        <w:spacing w:before="100" w:beforeAutospacing="1" w:after="100" w:afterAutospacing="1" w:line="240" w:lineRule="auto"/>
      </w:pPr>
      <w:r w:rsidRPr="00242FC7">
        <w:rPr>
          <w:b/>
          <w:bCs/>
        </w:rPr>
        <w:t>Exhibit 44b</w:t>
      </w:r>
      <w:r w:rsidRPr="00242FC7">
        <w:t xml:space="preserve"> – 2013 District Court Malpractice Complaint</w:t>
      </w:r>
    </w:p>
    <w:p w14:paraId="321F238E" w14:textId="77777777" w:rsidR="00242FC7" w:rsidRPr="00242FC7" w:rsidRDefault="00242FC7" w:rsidP="00242FC7">
      <w:pPr>
        <w:numPr>
          <w:ilvl w:val="0"/>
          <w:numId w:val="11"/>
        </w:numPr>
        <w:spacing w:before="100" w:beforeAutospacing="1" w:after="100" w:afterAutospacing="1" w:line="240" w:lineRule="auto"/>
      </w:pPr>
      <w:r w:rsidRPr="00242FC7">
        <w:rPr>
          <w:b/>
          <w:bCs/>
        </w:rPr>
        <w:t>Exhibit 44c</w:t>
      </w:r>
      <w:r w:rsidRPr="00242FC7">
        <w:t xml:space="preserve"> – Carl’s April 9, 2013 Petition</w:t>
      </w:r>
    </w:p>
    <w:p w14:paraId="6FA3DE0B" w14:textId="77777777" w:rsidR="00242FC7" w:rsidRPr="00242FC7" w:rsidRDefault="00242FC7" w:rsidP="00242FC7">
      <w:pPr>
        <w:spacing w:before="100" w:beforeAutospacing="1" w:after="100" w:afterAutospacing="1" w:line="240" w:lineRule="auto"/>
        <w:ind w:firstLine="0"/>
        <w:outlineLvl w:val="0"/>
        <w:rPr>
          <w:b/>
          <w:bCs/>
          <w:kern w:val="36"/>
          <w:sz w:val="48"/>
          <w:szCs w:val="48"/>
        </w:rPr>
      </w:pPr>
      <w:r w:rsidRPr="00242FC7">
        <w:rPr>
          <w:b/>
          <w:bCs/>
          <w:kern w:val="36"/>
          <w:sz w:val="48"/>
          <w:szCs w:val="48"/>
        </w:rPr>
        <w:t>INTRODUCTION</w:t>
      </w:r>
    </w:p>
    <w:p w14:paraId="7C8A3591" w14:textId="77777777" w:rsidR="00242FC7" w:rsidRPr="00242FC7" w:rsidRDefault="00242FC7" w:rsidP="00242FC7">
      <w:pPr>
        <w:spacing w:before="100" w:beforeAutospacing="1" w:after="100" w:afterAutospacing="1" w:line="240" w:lineRule="auto"/>
        <w:ind w:firstLine="0"/>
      </w:pPr>
      <w:r w:rsidRPr="00242FC7">
        <w:rPr>
          <w:b/>
          <w:bCs/>
        </w:rPr>
        <w:t>Page 4</w:t>
      </w:r>
    </w:p>
    <w:p w14:paraId="5D35F954" w14:textId="77777777" w:rsidR="00242FC7" w:rsidRPr="00242FC7" w:rsidRDefault="00242FC7" w:rsidP="00242FC7">
      <w:pPr>
        <w:spacing w:before="100" w:beforeAutospacing="1" w:after="100" w:afterAutospacing="1" w:line="240" w:lineRule="auto"/>
        <w:ind w:firstLine="0"/>
      </w:pPr>
      <w:r w:rsidRPr="00242FC7">
        <w:lastRenderedPageBreak/>
        <w:t>This memorandum summarizes the probate records, trust instruments, federal litigation, and related filings concerning the Estates of Elmer H. Brunsting and Nelva E. Brunsting and the Brunsting Family Living Trust. The exhibits collectively demonstrate:</w:t>
      </w:r>
    </w:p>
    <w:p w14:paraId="7AAAFCE1" w14:textId="77777777" w:rsidR="00242FC7" w:rsidRPr="00242FC7" w:rsidRDefault="00242FC7" w:rsidP="00242FC7">
      <w:pPr>
        <w:numPr>
          <w:ilvl w:val="0"/>
          <w:numId w:val="12"/>
        </w:numPr>
        <w:spacing w:before="100" w:beforeAutospacing="1" w:after="100" w:afterAutospacing="1" w:line="240" w:lineRule="auto"/>
      </w:pPr>
      <w:r w:rsidRPr="00242FC7">
        <w:t xml:space="preserve">Both estates were opened solely for </w:t>
      </w:r>
      <w:r w:rsidRPr="00242FC7">
        <w:rPr>
          <w:b/>
          <w:bCs/>
        </w:rPr>
        <w:t>independent administration</w:t>
      </w:r>
      <w:r w:rsidRPr="00242FC7">
        <w:t>, with jurisdiction terminating upon approval of the inventories in April 2013.</w:t>
      </w:r>
    </w:p>
    <w:p w14:paraId="0CB43D20" w14:textId="77777777" w:rsidR="00242FC7" w:rsidRPr="00242FC7" w:rsidRDefault="00242FC7" w:rsidP="00242FC7">
      <w:pPr>
        <w:numPr>
          <w:ilvl w:val="0"/>
          <w:numId w:val="12"/>
        </w:numPr>
        <w:spacing w:before="100" w:beforeAutospacing="1" w:after="100" w:afterAutospacing="1" w:line="240" w:lineRule="auto"/>
      </w:pPr>
      <w:r w:rsidRPr="00242FC7">
        <w:t xml:space="preserve">No claims were filed in either estate, and both were formally closed by </w:t>
      </w:r>
      <w:r w:rsidRPr="00242FC7">
        <w:rPr>
          <w:b/>
          <w:bCs/>
        </w:rPr>
        <w:t>drop orders</w:t>
      </w:r>
      <w:r w:rsidRPr="00242FC7">
        <w:t>.</w:t>
      </w:r>
    </w:p>
    <w:p w14:paraId="7999B1FD" w14:textId="77777777" w:rsidR="00242FC7" w:rsidRPr="00242FC7" w:rsidRDefault="00242FC7" w:rsidP="00242FC7">
      <w:pPr>
        <w:numPr>
          <w:ilvl w:val="0"/>
          <w:numId w:val="12"/>
        </w:numPr>
        <w:spacing w:before="100" w:beforeAutospacing="1" w:after="100" w:afterAutospacing="1" w:line="240" w:lineRule="auto"/>
      </w:pPr>
      <w:r w:rsidRPr="00242FC7">
        <w:t xml:space="preserve">All later “412,248xxx” and “412,249xxx” filings occurred </w:t>
      </w:r>
      <w:r w:rsidRPr="00242FC7">
        <w:rPr>
          <w:b/>
          <w:bCs/>
        </w:rPr>
        <w:t>after jurisdiction terminated</w:t>
      </w:r>
      <w:r w:rsidRPr="00242FC7">
        <w:t xml:space="preserve"> and are therefore void.</w:t>
      </w:r>
    </w:p>
    <w:p w14:paraId="184E2E0D" w14:textId="77777777" w:rsidR="00242FC7" w:rsidRPr="00242FC7" w:rsidRDefault="00242FC7" w:rsidP="00242FC7">
      <w:pPr>
        <w:numPr>
          <w:ilvl w:val="0"/>
          <w:numId w:val="12"/>
        </w:numPr>
        <w:spacing w:before="100" w:beforeAutospacing="1" w:after="100" w:afterAutospacing="1" w:line="240" w:lineRule="auto"/>
      </w:pPr>
      <w:r w:rsidRPr="00242FC7">
        <w:t>The Trust, not the probate court, governed all administration and disputes.</w:t>
      </w:r>
    </w:p>
    <w:p w14:paraId="0A495502" w14:textId="77777777" w:rsidR="00242FC7" w:rsidRPr="00242FC7" w:rsidRDefault="00242FC7" w:rsidP="00242FC7">
      <w:pPr>
        <w:numPr>
          <w:ilvl w:val="0"/>
          <w:numId w:val="12"/>
        </w:numPr>
        <w:spacing w:before="100" w:beforeAutospacing="1" w:after="100" w:afterAutospacing="1" w:line="240" w:lineRule="auto"/>
      </w:pPr>
      <w:r w:rsidRPr="00242FC7">
        <w:t xml:space="preserve">The federal action </w:t>
      </w:r>
      <w:r w:rsidRPr="00242FC7">
        <w:rPr>
          <w:i/>
          <w:iCs/>
        </w:rPr>
        <w:t>Curtis v. Brunsting</w:t>
      </w:r>
      <w:r w:rsidRPr="00242FC7">
        <w:t xml:space="preserve"> was the only proceeding with lawful jurisdiction over trust administration.</w:t>
      </w:r>
    </w:p>
    <w:p w14:paraId="3A4EEE9D" w14:textId="77777777" w:rsidR="00242FC7" w:rsidRPr="00242FC7" w:rsidRDefault="00242FC7" w:rsidP="00242FC7">
      <w:pPr>
        <w:numPr>
          <w:ilvl w:val="0"/>
          <w:numId w:val="12"/>
        </w:numPr>
        <w:spacing w:before="100" w:beforeAutospacing="1" w:after="100" w:afterAutospacing="1" w:line="240" w:lineRule="auto"/>
      </w:pPr>
      <w:r w:rsidRPr="00242FC7">
        <w:t>The trust records and litigation filings reveal extensive irregularities, concealment, and fiduciary breaches by successor trustees.</w:t>
      </w:r>
    </w:p>
    <w:p w14:paraId="328AD724" w14:textId="77777777" w:rsidR="00C74FF2" w:rsidRDefault="00C74FF2"/>
    <w:sectPr w:rsidR="00C74F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61072"/>
    <w:multiLevelType w:val="multilevel"/>
    <w:tmpl w:val="42B6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10AF0"/>
    <w:multiLevelType w:val="multilevel"/>
    <w:tmpl w:val="96C2F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B9726D"/>
    <w:multiLevelType w:val="multilevel"/>
    <w:tmpl w:val="301C1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9A1522"/>
    <w:multiLevelType w:val="multilevel"/>
    <w:tmpl w:val="B7EC5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28E0EDA"/>
    <w:multiLevelType w:val="multilevel"/>
    <w:tmpl w:val="0094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76624"/>
    <w:multiLevelType w:val="hybridMultilevel"/>
    <w:tmpl w:val="8B20C850"/>
    <w:lvl w:ilvl="0" w:tplc="60BC6198">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71A7840"/>
    <w:multiLevelType w:val="hybridMultilevel"/>
    <w:tmpl w:val="F9BAE962"/>
    <w:lvl w:ilvl="0" w:tplc="407E9902">
      <w:start w:val="1"/>
      <w:numFmt w:val="upperLetter"/>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7E0C28"/>
    <w:multiLevelType w:val="hybridMultilevel"/>
    <w:tmpl w:val="4D8426BA"/>
    <w:lvl w:ilvl="0" w:tplc="D4FEA0A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20664D"/>
    <w:multiLevelType w:val="multilevel"/>
    <w:tmpl w:val="ED2C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FF3035"/>
    <w:multiLevelType w:val="multilevel"/>
    <w:tmpl w:val="557E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E65F46"/>
    <w:multiLevelType w:val="hybridMultilevel"/>
    <w:tmpl w:val="0B8C7194"/>
    <w:lvl w:ilvl="0" w:tplc="451482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0"/>
  </w:num>
  <w:num w:numId="4">
    <w:abstractNumId w:val="5"/>
  </w:num>
  <w:num w:numId="5">
    <w:abstractNumId w:val="10"/>
  </w:num>
  <w:num w:numId="6">
    <w:abstractNumId w:val="3"/>
  </w:num>
  <w:num w:numId="7">
    <w:abstractNumId w:val="6"/>
  </w:num>
  <w:num w:numId="8">
    <w:abstractNumId w:val="0"/>
  </w:num>
  <w:num w:numId="9">
    <w:abstractNumId w:val="8"/>
  </w:num>
  <w:num w:numId="10">
    <w:abstractNumId w:val="9"/>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C7"/>
    <w:rsid w:val="00242FC7"/>
    <w:rsid w:val="002C1D5E"/>
    <w:rsid w:val="00574FE0"/>
    <w:rsid w:val="008D42E0"/>
    <w:rsid w:val="00954C69"/>
    <w:rsid w:val="00BD2E04"/>
    <w:rsid w:val="00C27844"/>
    <w:rsid w:val="00C74FF2"/>
    <w:rsid w:val="00DC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CBD3"/>
  <w15:chartTrackingRefBased/>
  <w15:docId w15:val="{60789C80-9801-4D51-961B-89AEF280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2E0"/>
    <w:pPr>
      <w:spacing w:before="120" w:after="240" w:line="480" w:lineRule="auto"/>
      <w:ind w:firstLine="720"/>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BD2E04"/>
    <w:pPr>
      <w:widowControl w:val="0"/>
      <w:spacing w:before="240" w:line="240" w:lineRule="auto"/>
      <w:ind w:firstLine="0"/>
      <w:outlineLvl w:val="0"/>
    </w:pPr>
    <w:rPr>
      <w:b/>
      <w:bCs/>
      <w:szCs w:val="28"/>
    </w:rPr>
  </w:style>
  <w:style w:type="paragraph" w:styleId="Heading2">
    <w:name w:val="heading 2"/>
    <w:basedOn w:val="Normal"/>
    <w:next w:val="Normal"/>
    <w:link w:val="Heading2Char"/>
    <w:autoRedefine/>
    <w:uiPriority w:val="9"/>
    <w:semiHidden/>
    <w:unhideWhenUsed/>
    <w:qFormat/>
    <w:rsid w:val="00DC1F52"/>
    <w:pPr>
      <w:keepNext/>
      <w:keepLines/>
      <w:numPr>
        <w:numId w:val="5"/>
      </w:numPr>
      <w:spacing w:after="120"/>
      <w:ind w:left="1440"/>
      <w:outlineLvl w:val="1"/>
    </w:pPr>
    <w:rPr>
      <w:rFonts w:asciiTheme="majorHAnsi" w:eastAsiaTheme="majorEastAsia" w:hAnsiTheme="majorHAnsi" w:cstheme="majorBidi"/>
      <w:b/>
      <w:szCs w:val="26"/>
    </w:rPr>
  </w:style>
  <w:style w:type="paragraph" w:styleId="Heading3">
    <w:name w:val="heading 3"/>
    <w:basedOn w:val="Normal"/>
    <w:next w:val="Normal"/>
    <w:link w:val="Heading3Char"/>
    <w:autoRedefine/>
    <w:uiPriority w:val="9"/>
    <w:unhideWhenUsed/>
    <w:qFormat/>
    <w:rsid w:val="00C27844"/>
    <w:pPr>
      <w:numPr>
        <w:numId w:val="7"/>
      </w:numPr>
      <w:contextualSpacing/>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04"/>
    <w:rPr>
      <w:rFonts w:ascii="Times New Roman" w:eastAsia="Times New Roman" w:hAnsi="Times New Roman" w:cs="Times New Roman"/>
      <w:b/>
      <w:bCs/>
      <w:sz w:val="28"/>
      <w:szCs w:val="28"/>
    </w:rPr>
  </w:style>
  <w:style w:type="paragraph" w:customStyle="1" w:styleId="NumPara1">
    <w:name w:val="Num Para 1"/>
    <w:basedOn w:val="Normal"/>
    <w:link w:val="NumPara1Char"/>
    <w:autoRedefine/>
    <w:qFormat/>
    <w:rsid w:val="00DC1F52"/>
    <w:pPr>
      <w:tabs>
        <w:tab w:val="num" w:pos="1440"/>
      </w:tabs>
      <w:ind w:firstLine="360"/>
      <w:jc w:val="both"/>
    </w:pPr>
    <w:rPr>
      <w:szCs w:val="28"/>
    </w:rPr>
  </w:style>
  <w:style w:type="character" w:customStyle="1" w:styleId="NumPara1Char">
    <w:name w:val="Num Para 1 Char"/>
    <w:basedOn w:val="DefaultParagraphFont"/>
    <w:link w:val="NumPara1"/>
    <w:rsid w:val="00DC1F52"/>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semiHidden/>
    <w:rsid w:val="00DC1F52"/>
    <w:rPr>
      <w:rFonts w:asciiTheme="majorHAnsi" w:eastAsiaTheme="majorEastAsia" w:hAnsiTheme="majorHAnsi" w:cstheme="majorBidi"/>
      <w:b/>
      <w:sz w:val="28"/>
      <w:szCs w:val="26"/>
    </w:rPr>
  </w:style>
  <w:style w:type="paragraph" w:styleId="Title">
    <w:name w:val="Title"/>
    <w:basedOn w:val="Normal"/>
    <w:next w:val="Normal"/>
    <w:link w:val="TitleChar"/>
    <w:autoRedefine/>
    <w:uiPriority w:val="10"/>
    <w:qFormat/>
    <w:rsid w:val="002C1D5E"/>
    <w:pPr>
      <w:spacing w:line="240" w:lineRule="auto"/>
      <w:ind w:firstLine="0"/>
      <w:contextualSpacing/>
      <w:jc w:val="center"/>
      <w:outlineLvl w:val="0"/>
    </w:pPr>
    <w:rPr>
      <w:rFonts w:eastAsiaTheme="majorEastAsia" w:cstheme="majorBidi"/>
      <w:b/>
      <w:spacing w:val="-10"/>
      <w:kern w:val="28"/>
      <w:szCs w:val="52"/>
    </w:rPr>
  </w:style>
  <w:style w:type="character" w:customStyle="1" w:styleId="TitleChar">
    <w:name w:val="Title Char"/>
    <w:basedOn w:val="DefaultParagraphFont"/>
    <w:link w:val="Title"/>
    <w:uiPriority w:val="10"/>
    <w:rsid w:val="002C1D5E"/>
    <w:rPr>
      <w:rFonts w:ascii="Times New Roman" w:eastAsiaTheme="majorEastAsia" w:hAnsi="Times New Roman" w:cstheme="majorBidi"/>
      <w:b/>
      <w:spacing w:val="-10"/>
      <w:kern w:val="28"/>
      <w:sz w:val="28"/>
      <w:szCs w:val="52"/>
    </w:rPr>
  </w:style>
  <w:style w:type="character" w:customStyle="1" w:styleId="Heading3Char">
    <w:name w:val="Heading 3 Char"/>
    <w:basedOn w:val="DefaultParagraphFont"/>
    <w:link w:val="Heading3"/>
    <w:uiPriority w:val="9"/>
    <w:rsid w:val="00C27844"/>
    <w:rPr>
      <w:rFonts w:ascii="Times New Roman" w:eastAsia="Times New Roman" w:hAnsi="Times New Roman" w:cs="Times New Roman"/>
      <w:b/>
      <w:sz w:val="28"/>
      <w:szCs w:val="24"/>
    </w:rPr>
  </w:style>
  <w:style w:type="paragraph" w:styleId="Quote">
    <w:name w:val="Quote"/>
    <w:basedOn w:val="Normal"/>
    <w:next w:val="Normal"/>
    <w:link w:val="QuoteChar"/>
    <w:autoRedefine/>
    <w:uiPriority w:val="29"/>
    <w:qFormat/>
    <w:rsid w:val="00BD2E04"/>
    <w:pPr>
      <w:spacing w:after="160" w:line="240" w:lineRule="auto"/>
      <w:ind w:left="720" w:right="720" w:firstLine="0"/>
      <w:contextualSpacing/>
      <w:jc w:val="both"/>
    </w:pPr>
    <w:rPr>
      <w:i/>
      <w:iCs/>
      <w:color w:val="404040" w:themeColor="text1" w:themeTint="BF"/>
    </w:rPr>
  </w:style>
  <w:style w:type="character" w:customStyle="1" w:styleId="QuoteChar">
    <w:name w:val="Quote Char"/>
    <w:basedOn w:val="DefaultParagraphFont"/>
    <w:link w:val="Quote"/>
    <w:uiPriority w:val="29"/>
    <w:rsid w:val="00BD2E04"/>
    <w:rPr>
      <w:rFonts w:ascii="Times New Roman" w:hAnsi="Times New Roman"/>
      <w:i/>
      <w:iCs/>
      <w:color w:val="404040" w:themeColor="text1" w:themeTint="BF"/>
      <w:sz w:val="28"/>
    </w:rPr>
  </w:style>
  <w:style w:type="character" w:styleId="Strong">
    <w:name w:val="Strong"/>
    <w:basedOn w:val="DefaultParagraphFont"/>
    <w:uiPriority w:val="22"/>
    <w:qFormat/>
    <w:rsid w:val="00242FC7"/>
    <w:rPr>
      <w:b/>
      <w:bCs/>
    </w:rPr>
  </w:style>
  <w:style w:type="paragraph" w:styleId="NormalWeb">
    <w:name w:val="Normal (Web)"/>
    <w:basedOn w:val="Normal"/>
    <w:uiPriority w:val="99"/>
    <w:semiHidden/>
    <w:unhideWhenUsed/>
    <w:rsid w:val="00242FC7"/>
    <w:pPr>
      <w:spacing w:before="100" w:beforeAutospacing="1" w:after="100" w:afterAutospacing="1" w:line="240" w:lineRule="auto"/>
      <w:ind w:firstLine="0"/>
    </w:pPr>
  </w:style>
  <w:style w:type="character" w:styleId="Emphasis">
    <w:name w:val="Emphasis"/>
    <w:basedOn w:val="DefaultParagraphFont"/>
    <w:uiPriority w:val="20"/>
    <w:qFormat/>
    <w:rsid w:val="00242F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9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1</cp:revision>
  <dcterms:created xsi:type="dcterms:W3CDTF">2026-04-17T19:19:00Z</dcterms:created>
  <dcterms:modified xsi:type="dcterms:W3CDTF">2026-04-20T21:49:00Z</dcterms:modified>
</cp:coreProperties>
</file>