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E3A15" w14:textId="77777777" w:rsidR="002C28AA" w:rsidRDefault="002C28AA" w:rsidP="002C28AA">
      <w:pPr>
        <w:pStyle w:val="NormalWeb"/>
      </w:pPr>
      <w:r>
        <w:t>This memorandum summarizes the probate records, trust instruments, federal litigation, and related filings concerning the Estates of Elmer H. Brunsting and Nelva E. Brunsting and the Brunsting Family Living Trust. The exhibits collectively demonstrate:</w:t>
      </w:r>
    </w:p>
    <w:p w14:paraId="3F36F2E6" w14:textId="77777777" w:rsidR="002C28AA" w:rsidRDefault="002C28AA" w:rsidP="002C28AA">
      <w:pPr>
        <w:pStyle w:val="NormalWeb"/>
        <w:numPr>
          <w:ilvl w:val="0"/>
          <w:numId w:val="8"/>
        </w:numPr>
      </w:pPr>
      <w:r>
        <w:t xml:space="preserve">Both estates were opened solely for </w:t>
      </w:r>
      <w:r>
        <w:rPr>
          <w:rStyle w:val="Strong"/>
        </w:rPr>
        <w:t>independent administration</w:t>
      </w:r>
      <w:r>
        <w:t>, with jurisdiction terminating upon approval of the inventories in April 2013.</w:t>
      </w:r>
    </w:p>
    <w:p w14:paraId="3A112F08" w14:textId="77777777" w:rsidR="002C28AA" w:rsidRDefault="002C28AA" w:rsidP="002C28AA">
      <w:pPr>
        <w:pStyle w:val="NormalWeb"/>
        <w:numPr>
          <w:ilvl w:val="0"/>
          <w:numId w:val="8"/>
        </w:numPr>
      </w:pPr>
      <w:r>
        <w:t xml:space="preserve">No claims were filed in either estate, and both were formally closed by </w:t>
      </w:r>
      <w:r>
        <w:rPr>
          <w:rStyle w:val="Strong"/>
        </w:rPr>
        <w:t>drop orders</w:t>
      </w:r>
      <w:r>
        <w:t>.</w:t>
      </w:r>
    </w:p>
    <w:p w14:paraId="404618B4" w14:textId="77777777" w:rsidR="002C28AA" w:rsidRDefault="002C28AA" w:rsidP="002C28AA">
      <w:pPr>
        <w:pStyle w:val="NormalWeb"/>
        <w:numPr>
          <w:ilvl w:val="0"/>
          <w:numId w:val="8"/>
        </w:numPr>
      </w:pPr>
      <w:r>
        <w:t xml:space="preserve">All later “412,248xxx” and “412,249xxx” filings occurred </w:t>
      </w:r>
      <w:r>
        <w:rPr>
          <w:rStyle w:val="Strong"/>
        </w:rPr>
        <w:t>after jurisdiction terminated</w:t>
      </w:r>
      <w:r>
        <w:t xml:space="preserve"> and are therefore void.</w:t>
      </w:r>
    </w:p>
    <w:p w14:paraId="5C2E8037" w14:textId="77777777" w:rsidR="002C28AA" w:rsidRDefault="002C28AA" w:rsidP="002C28AA">
      <w:pPr>
        <w:pStyle w:val="NormalWeb"/>
        <w:numPr>
          <w:ilvl w:val="0"/>
          <w:numId w:val="8"/>
        </w:numPr>
      </w:pPr>
      <w:r>
        <w:t>The Trust, not the probate court, governed all administration and disputes.</w:t>
      </w:r>
    </w:p>
    <w:p w14:paraId="7EF99B1D" w14:textId="77777777" w:rsidR="002C28AA" w:rsidRDefault="002C28AA" w:rsidP="002C28AA">
      <w:pPr>
        <w:pStyle w:val="NormalWeb"/>
        <w:numPr>
          <w:ilvl w:val="0"/>
          <w:numId w:val="8"/>
        </w:numPr>
      </w:pPr>
      <w:r>
        <w:t xml:space="preserve">The federal action </w:t>
      </w:r>
      <w:r>
        <w:rPr>
          <w:rStyle w:val="Emphasis"/>
          <w:rFonts w:eastAsiaTheme="majorEastAsia"/>
        </w:rPr>
        <w:t>Curtis v. Brunsting</w:t>
      </w:r>
      <w:r>
        <w:t xml:space="preserve"> was the only proceeding with lawful jurisdiction over trust administration.</w:t>
      </w:r>
    </w:p>
    <w:p w14:paraId="48C09F45" w14:textId="77777777" w:rsidR="002C28AA" w:rsidRDefault="002C28AA" w:rsidP="002C28AA">
      <w:pPr>
        <w:pStyle w:val="NormalWeb"/>
        <w:numPr>
          <w:ilvl w:val="0"/>
          <w:numId w:val="8"/>
        </w:numPr>
      </w:pPr>
      <w:r>
        <w:t>The trust records and litigation filings reveal extensive irregularities, concealment, and fiduciary breaches by successor trustees.</w:t>
      </w:r>
    </w:p>
    <w:p w14:paraId="20AAFE19" w14:textId="77777777" w:rsidR="002C28AA" w:rsidRDefault="002C28AA" w:rsidP="002C28AA">
      <w:pPr>
        <w:pStyle w:val="NormalWeb"/>
      </w:pPr>
      <w:r>
        <w:t>This memorandum is intended as a standalone summary exhibit for use in federal or state litigation.</w:t>
      </w:r>
    </w:p>
    <w:p w14:paraId="1265913C" w14:textId="77777777" w:rsidR="002C28AA" w:rsidRDefault="002C28AA" w:rsidP="002C28AA">
      <w:pPr>
        <w:pStyle w:val="Heading3"/>
        <w:rPr>
          <w:sz w:val="27"/>
          <w:szCs w:val="27"/>
        </w:rPr>
      </w:pPr>
      <w:r>
        <w:t>Summary of Exhibits 11–16 (Estate of Elmer H. Brunsting)</w:t>
      </w:r>
    </w:p>
    <w:p w14:paraId="5D816CE2" w14:textId="77777777" w:rsidR="002C28AA" w:rsidRDefault="002C28AA" w:rsidP="002C28AA">
      <w:pPr>
        <w:pStyle w:val="NormalWeb"/>
      </w:pPr>
      <w:r>
        <w:rPr>
          <w:rStyle w:val="Strong"/>
          <w:rFonts w:eastAsiaTheme="majorEastAsia"/>
        </w:rPr>
        <w:t>Page 5</w:t>
      </w:r>
    </w:p>
    <w:p w14:paraId="493AFBE2" w14:textId="77777777" w:rsidR="002C28AA" w:rsidRDefault="002C28AA" w:rsidP="002C28AA">
      <w:pPr>
        <w:pStyle w:val="Heading4"/>
      </w:pPr>
      <w:r>
        <w:t>Executive summary</w:t>
      </w:r>
    </w:p>
    <w:p w14:paraId="76DDE883" w14:textId="77777777" w:rsidR="002C28AA" w:rsidRDefault="002C28AA" w:rsidP="002C28AA">
      <w:pPr>
        <w:pStyle w:val="NormalWeb"/>
        <w:numPr>
          <w:ilvl w:val="0"/>
          <w:numId w:val="9"/>
        </w:numPr>
      </w:pPr>
      <w:r>
        <w:rPr>
          <w:rStyle w:val="Strong"/>
          <w:rFonts w:eastAsiaTheme="majorEastAsia"/>
        </w:rPr>
        <w:t>Core fact:</w:t>
      </w:r>
      <w:r>
        <w:t xml:space="preserve"> Elmer H. Brunsting died on </w:t>
      </w:r>
      <w:r>
        <w:rPr>
          <w:rStyle w:val="Strong"/>
          <w:rFonts w:eastAsiaTheme="majorEastAsia"/>
        </w:rPr>
        <w:t>April 1, 2009</w:t>
      </w:r>
      <w:r>
        <w:t xml:space="preserve">; his January 12, 2005 will </w:t>
      </w:r>
      <w:proofErr w:type="gramStart"/>
      <w:r>
        <w:t>devised</w:t>
      </w:r>
      <w:proofErr w:type="gramEnd"/>
      <w:r>
        <w:t xml:space="preserve"> all property to the Brunsting Family Living Trust and expressly required </w:t>
      </w:r>
      <w:r>
        <w:rPr>
          <w:rStyle w:val="Strong"/>
          <w:rFonts w:eastAsiaTheme="majorEastAsia"/>
        </w:rPr>
        <w:t>independent administration</w:t>
      </w:r>
      <w:r>
        <w:t>.</w:t>
      </w:r>
    </w:p>
    <w:p w14:paraId="3A2DDA82" w14:textId="77777777" w:rsidR="002C28AA" w:rsidRDefault="002C28AA" w:rsidP="002C28AA">
      <w:pPr>
        <w:pStyle w:val="NormalWeb"/>
        <w:numPr>
          <w:ilvl w:val="0"/>
          <w:numId w:val="9"/>
        </w:numPr>
      </w:pPr>
      <w:r>
        <w:rPr>
          <w:rStyle w:val="Strong"/>
          <w:rFonts w:eastAsiaTheme="majorEastAsia"/>
        </w:rPr>
        <w:t>Procedural end point:</w:t>
      </w:r>
      <w:r>
        <w:t xml:space="preserve"> The probate court approved the inventory and entered a drop order in early April 2013, after which the court’s jurisdiction over the estate terminated under the applicable Texas probate/estates statutes.</w:t>
      </w:r>
    </w:p>
    <w:p w14:paraId="0C247CE1" w14:textId="77777777" w:rsidR="002C28AA" w:rsidRDefault="002C28AA" w:rsidP="002C28AA">
      <w:pPr>
        <w:pStyle w:val="NormalWeb"/>
      </w:pPr>
      <w:r>
        <w:rPr>
          <w:rStyle w:val="Strong"/>
          <w:rFonts w:eastAsiaTheme="majorEastAsia"/>
        </w:rPr>
        <w:t>From the record:</w:t>
      </w:r>
      <w:r>
        <w:t xml:space="preserve"> “Elmer died April 1, 2009 in Harris County.” </w:t>
      </w:r>
      <w:r>
        <w:rPr>
          <w:rStyle w:val="Strong"/>
          <w:rFonts w:eastAsiaTheme="majorEastAsia"/>
        </w:rPr>
        <w:t>From the record:</w:t>
      </w:r>
      <w:r>
        <w:t xml:space="preserve"> “This affidavit satisfied the statutory requirements for admitting the will to probate and issuing Letters Testamentary.”</w:t>
      </w:r>
    </w:p>
    <w:p w14:paraId="6ED77A6F" w14:textId="77777777" w:rsidR="002C28AA" w:rsidRDefault="002C28AA" w:rsidP="002C28AA">
      <w:pPr>
        <w:pStyle w:val="Heading4"/>
      </w:pPr>
      <w:r>
        <w:t>Exhibit-by-exhibit summary</w:t>
      </w:r>
    </w:p>
    <w:p w14:paraId="5B80E517" w14:textId="77777777" w:rsidR="002C28AA" w:rsidRDefault="002C28AA" w:rsidP="002C28AA">
      <w:pPr>
        <w:pStyle w:val="Heading5"/>
      </w:pPr>
      <w:r>
        <w:rPr>
          <w:rStyle w:val="Strong"/>
          <w:b w:val="0"/>
          <w:bCs w:val="0"/>
        </w:rPr>
        <w:t>Exhibit 11 — Proof of Death and Other Facts (Elmer H. Brunsting)</w:t>
      </w:r>
    </w:p>
    <w:p w14:paraId="7AE18B6D" w14:textId="77777777" w:rsidR="002C28AA" w:rsidRDefault="002C28AA" w:rsidP="002C28AA">
      <w:pPr>
        <w:pStyle w:val="NormalWeb"/>
        <w:numPr>
          <w:ilvl w:val="0"/>
          <w:numId w:val="10"/>
        </w:numPr>
      </w:pPr>
      <w:r>
        <w:rPr>
          <w:rStyle w:val="Strong"/>
          <w:rFonts w:eastAsiaTheme="majorEastAsia"/>
        </w:rPr>
        <w:t>Date / purpose:</w:t>
      </w:r>
      <w:r>
        <w:t xml:space="preserve"> August 28, 2012; establishes statutory prerequisites for probate (death, will in existence, successor executor, necessity for administration).</w:t>
      </w:r>
    </w:p>
    <w:p w14:paraId="39AEE044" w14:textId="77777777" w:rsidR="002C28AA" w:rsidRDefault="002C28AA" w:rsidP="002C28AA">
      <w:pPr>
        <w:pStyle w:val="NormalWeb"/>
        <w:numPr>
          <w:ilvl w:val="0"/>
          <w:numId w:val="10"/>
        </w:numPr>
      </w:pPr>
      <w:r>
        <w:rPr>
          <w:rStyle w:val="Strong"/>
          <w:rFonts w:eastAsiaTheme="majorEastAsia"/>
        </w:rPr>
        <w:lastRenderedPageBreak/>
        <w:t>Key legal effect:</w:t>
      </w:r>
      <w:r>
        <w:t xml:space="preserve"> Satisfied the formal prerequisites to admit the will and issue Letters Testamentary; the affidavit is the foundational probate filing that led to ministerial probate actions.</w:t>
      </w:r>
    </w:p>
    <w:p w14:paraId="04DE5A5D" w14:textId="77777777" w:rsidR="002C28AA" w:rsidRDefault="002C28AA" w:rsidP="002C28AA">
      <w:pPr>
        <w:pStyle w:val="Heading5"/>
      </w:pPr>
      <w:r>
        <w:rPr>
          <w:rStyle w:val="Strong"/>
          <w:b w:val="0"/>
          <w:bCs w:val="0"/>
        </w:rPr>
        <w:t>Exhibit 12 — Last Will and Testament (2005)</w:t>
      </w:r>
    </w:p>
    <w:p w14:paraId="613D441A" w14:textId="77777777" w:rsidR="002C28AA" w:rsidRDefault="002C28AA" w:rsidP="002C28AA">
      <w:pPr>
        <w:pStyle w:val="NormalWeb"/>
        <w:numPr>
          <w:ilvl w:val="0"/>
          <w:numId w:val="11"/>
        </w:numPr>
      </w:pPr>
      <w:r>
        <w:rPr>
          <w:rStyle w:val="Strong"/>
          <w:rFonts w:eastAsiaTheme="majorEastAsia"/>
        </w:rPr>
        <w:t>Substance:</w:t>
      </w:r>
      <w:r>
        <w:t xml:space="preserve"> The will </w:t>
      </w:r>
      <w:r>
        <w:rPr>
          <w:rStyle w:val="Strong"/>
          <w:rFonts w:eastAsiaTheme="majorEastAsia"/>
        </w:rPr>
        <w:t>pours all property into the Brunsting Family Living Trust</w:t>
      </w:r>
      <w:r>
        <w:t xml:space="preserve">, mandates </w:t>
      </w:r>
      <w:r>
        <w:rPr>
          <w:rStyle w:val="Strong"/>
          <w:rFonts w:eastAsiaTheme="majorEastAsia"/>
        </w:rPr>
        <w:t>independent administration</w:t>
      </w:r>
      <w:r>
        <w:t xml:space="preserve">, and sets a clear </w:t>
      </w:r>
      <w:r>
        <w:rPr>
          <w:rStyle w:val="Strong"/>
          <w:rFonts w:eastAsiaTheme="majorEastAsia"/>
        </w:rPr>
        <w:t>personal representative succession</w:t>
      </w:r>
      <w:r>
        <w:t xml:space="preserve"> (Nelva → Carl → Amy → Candace).</w:t>
      </w:r>
    </w:p>
    <w:p w14:paraId="066A7AA2" w14:textId="77777777" w:rsidR="002C28AA" w:rsidRDefault="002C28AA" w:rsidP="002C28AA">
      <w:pPr>
        <w:pStyle w:val="NormalWeb"/>
        <w:numPr>
          <w:ilvl w:val="0"/>
          <w:numId w:val="11"/>
        </w:numPr>
      </w:pPr>
      <w:r>
        <w:rPr>
          <w:rStyle w:val="Strong"/>
          <w:rFonts w:eastAsiaTheme="majorEastAsia"/>
        </w:rPr>
        <w:t>Legal effect:</w:t>
      </w:r>
      <w:r>
        <w:t xml:space="preserve"> The will’s express requirement of independent administration limits probate court involvement to narrow, statutory tasks and signals that trust administration—not probate—controls post</w:t>
      </w:r>
      <w:r>
        <w:noBreakHyphen/>
        <w:t>death asset disposition.</w:t>
      </w:r>
    </w:p>
    <w:p w14:paraId="3DEF3C85" w14:textId="77777777" w:rsidR="002C28AA" w:rsidRDefault="002C28AA" w:rsidP="002C28AA">
      <w:pPr>
        <w:pStyle w:val="Heading5"/>
      </w:pPr>
      <w:r>
        <w:rPr>
          <w:rStyle w:val="Strong"/>
          <w:b w:val="0"/>
          <w:bCs w:val="0"/>
        </w:rPr>
        <w:t>Exhibit 13 — Order Admitting Will to Probate &amp; Issuing Letters Testamentary (Elmer)</w:t>
      </w:r>
    </w:p>
    <w:p w14:paraId="1DF17F7A" w14:textId="77777777" w:rsidR="002C28AA" w:rsidRDefault="002C28AA" w:rsidP="002C28AA">
      <w:pPr>
        <w:pStyle w:val="NormalWeb"/>
        <w:numPr>
          <w:ilvl w:val="0"/>
          <w:numId w:val="12"/>
        </w:numPr>
      </w:pPr>
      <w:r>
        <w:rPr>
          <w:rStyle w:val="Strong"/>
          <w:rFonts w:eastAsiaTheme="majorEastAsia"/>
        </w:rPr>
        <w:t>Date / judge:</w:t>
      </w:r>
      <w:r>
        <w:t xml:space="preserve"> August 28, 2012; Probate Court No. 4.</w:t>
      </w:r>
    </w:p>
    <w:p w14:paraId="54B437E5" w14:textId="77777777" w:rsidR="002C28AA" w:rsidRDefault="002C28AA" w:rsidP="002C28AA">
      <w:pPr>
        <w:pStyle w:val="NormalWeb"/>
        <w:numPr>
          <w:ilvl w:val="0"/>
          <w:numId w:val="12"/>
        </w:numPr>
      </w:pPr>
      <w:r>
        <w:rPr>
          <w:rStyle w:val="Strong"/>
          <w:rFonts w:eastAsiaTheme="majorEastAsia"/>
        </w:rPr>
        <w:t>Orders:</w:t>
      </w:r>
      <w:r>
        <w:t xml:space="preserve"> Will admitted; </w:t>
      </w:r>
      <w:r>
        <w:rPr>
          <w:rStyle w:val="Strong"/>
          <w:rFonts w:eastAsiaTheme="majorEastAsia"/>
        </w:rPr>
        <w:t>Carl appointed Independent Executor without bond</w:t>
      </w:r>
      <w:r>
        <w:t>; court directed only ministerial follow</w:t>
      </w:r>
      <w:r>
        <w:noBreakHyphen/>
        <w:t>up (inventory or affidavit in lieu).</w:t>
      </w:r>
    </w:p>
    <w:p w14:paraId="20D13E76" w14:textId="77777777" w:rsidR="002C28AA" w:rsidRDefault="002C28AA" w:rsidP="002C28AA">
      <w:pPr>
        <w:pStyle w:val="NormalWeb"/>
        <w:numPr>
          <w:ilvl w:val="0"/>
          <w:numId w:val="12"/>
        </w:numPr>
      </w:pPr>
      <w:r>
        <w:rPr>
          <w:rStyle w:val="Strong"/>
          <w:rFonts w:eastAsiaTheme="majorEastAsia"/>
        </w:rPr>
        <w:t>Legal effect:</w:t>
      </w:r>
      <w:r>
        <w:t xml:space="preserve"> The order confines the court’s role to the limited duties of an independent administration and sets the procedural path that, once completed, terminates probate jurisdiction.</w:t>
      </w:r>
    </w:p>
    <w:p w14:paraId="1655E86C" w14:textId="77777777" w:rsidR="002C28AA" w:rsidRDefault="002C28AA" w:rsidP="002C28AA">
      <w:pPr>
        <w:pStyle w:val="Heading5"/>
      </w:pPr>
      <w:r>
        <w:rPr>
          <w:rStyle w:val="Strong"/>
          <w:b w:val="0"/>
          <w:bCs w:val="0"/>
        </w:rPr>
        <w:t>Exhibit 14 — Inventory, Appraisement &amp; List of Claims (Elmer) + Order Approving Inventory</w:t>
      </w:r>
    </w:p>
    <w:p w14:paraId="78C22982" w14:textId="77777777" w:rsidR="002C28AA" w:rsidRDefault="002C28AA" w:rsidP="002C28AA">
      <w:pPr>
        <w:pStyle w:val="NormalWeb"/>
        <w:numPr>
          <w:ilvl w:val="0"/>
          <w:numId w:val="13"/>
        </w:numPr>
      </w:pPr>
      <w:r>
        <w:rPr>
          <w:rStyle w:val="Strong"/>
          <w:rFonts w:eastAsiaTheme="majorEastAsia"/>
        </w:rPr>
        <w:t>Filed / approved:</w:t>
      </w:r>
      <w:r>
        <w:t xml:space="preserve"> Filed March 26, 2013; approved April 5, 2013.</w:t>
      </w:r>
    </w:p>
    <w:p w14:paraId="4BBF5BDC" w14:textId="77777777" w:rsidR="002C28AA" w:rsidRDefault="002C28AA" w:rsidP="002C28AA">
      <w:pPr>
        <w:pStyle w:val="NormalWeb"/>
        <w:numPr>
          <w:ilvl w:val="0"/>
          <w:numId w:val="13"/>
        </w:numPr>
      </w:pPr>
      <w:r>
        <w:rPr>
          <w:rStyle w:val="Strong"/>
          <w:rFonts w:eastAsiaTheme="majorEastAsia"/>
        </w:rPr>
        <w:t>Key points:</w:t>
      </w:r>
      <w:r>
        <w:t xml:space="preserve"> Inventory was approved without objection; executor noted inability to determine all assets but anticipated further judicial proceedings only if necessary; estate asserted certain claims (including malpractice and alleged removals).</w:t>
      </w:r>
    </w:p>
    <w:p w14:paraId="0733D5AD" w14:textId="77777777" w:rsidR="002C28AA" w:rsidRDefault="002C28AA" w:rsidP="002C28AA">
      <w:pPr>
        <w:pStyle w:val="NormalWeb"/>
        <w:numPr>
          <w:ilvl w:val="0"/>
          <w:numId w:val="13"/>
        </w:numPr>
      </w:pPr>
      <w:r>
        <w:rPr>
          <w:rStyle w:val="Strong"/>
          <w:rFonts w:eastAsiaTheme="majorEastAsia"/>
        </w:rPr>
        <w:t>Legal effect:</w:t>
      </w:r>
      <w:r>
        <w:t xml:space="preserve"> Under Texas law (former Probate Code §145(h); Estates Code §402.001), </w:t>
      </w:r>
      <w:r>
        <w:rPr>
          <w:rStyle w:val="Strong"/>
          <w:rFonts w:eastAsiaTheme="majorEastAsia"/>
        </w:rPr>
        <w:t>approval of the inventory is the statutory trigger</w:t>
      </w:r>
      <w:r>
        <w:t xml:space="preserve"> that ends the probate court’s active jurisdiction over the estate except as expressly authorized by statute.</w:t>
      </w:r>
    </w:p>
    <w:p w14:paraId="6A98FDA6" w14:textId="77777777" w:rsidR="002C28AA" w:rsidRDefault="002C28AA" w:rsidP="002C28AA">
      <w:pPr>
        <w:pStyle w:val="Heading5"/>
      </w:pPr>
      <w:r>
        <w:rPr>
          <w:rStyle w:val="Strong"/>
          <w:b w:val="0"/>
          <w:bCs w:val="0"/>
        </w:rPr>
        <w:t>Exhibit 15 — Drop Order (Elmer Estate)</w:t>
      </w:r>
    </w:p>
    <w:p w14:paraId="0A47C52A" w14:textId="77777777" w:rsidR="002C28AA" w:rsidRDefault="002C28AA" w:rsidP="002C28AA">
      <w:pPr>
        <w:pStyle w:val="NormalWeb"/>
        <w:numPr>
          <w:ilvl w:val="0"/>
          <w:numId w:val="14"/>
        </w:numPr>
      </w:pPr>
      <w:r>
        <w:rPr>
          <w:rStyle w:val="Strong"/>
          <w:rFonts w:eastAsiaTheme="majorEastAsia"/>
        </w:rPr>
        <w:t>Date / judge:</w:t>
      </w:r>
      <w:r>
        <w:t xml:space="preserve"> April 4, 2013; Judge Christine Butts.</w:t>
      </w:r>
    </w:p>
    <w:p w14:paraId="7E639965" w14:textId="77777777" w:rsidR="002C28AA" w:rsidRDefault="002C28AA" w:rsidP="002C28AA">
      <w:pPr>
        <w:pStyle w:val="NormalWeb"/>
        <w:numPr>
          <w:ilvl w:val="0"/>
          <w:numId w:val="14"/>
        </w:numPr>
      </w:pPr>
      <w:r>
        <w:rPr>
          <w:rStyle w:val="Strong"/>
          <w:rFonts w:eastAsiaTheme="majorEastAsia"/>
        </w:rPr>
        <w:t>Orders:</w:t>
      </w:r>
      <w:r>
        <w:t xml:space="preserve"> Estate dropped from active docket; costs waived.</w:t>
      </w:r>
    </w:p>
    <w:p w14:paraId="4E00C049" w14:textId="77777777" w:rsidR="002C28AA" w:rsidRDefault="002C28AA" w:rsidP="002C28AA">
      <w:pPr>
        <w:pStyle w:val="NormalWeb"/>
        <w:numPr>
          <w:ilvl w:val="0"/>
          <w:numId w:val="14"/>
        </w:numPr>
      </w:pPr>
      <w:r>
        <w:rPr>
          <w:rStyle w:val="Strong"/>
          <w:rFonts w:eastAsiaTheme="majorEastAsia"/>
        </w:rPr>
        <w:t>Legal effect:</w:t>
      </w:r>
      <w:r>
        <w:t xml:space="preserve"> Formal closure of the estate; after this order there was </w:t>
      </w:r>
      <w:r>
        <w:rPr>
          <w:rStyle w:val="Strong"/>
          <w:rFonts w:eastAsiaTheme="majorEastAsia"/>
        </w:rPr>
        <w:t>no executor before the court and no estate under administration</w:t>
      </w:r>
      <w:r>
        <w:t>, so subsequent filings under the original cause number are void for lack of subject</w:t>
      </w:r>
      <w:r>
        <w:noBreakHyphen/>
        <w:t>matter jurisdiction unless a statutory exception applies.</w:t>
      </w:r>
    </w:p>
    <w:p w14:paraId="0DDD8F75" w14:textId="77777777" w:rsidR="002C28AA" w:rsidRDefault="002C28AA" w:rsidP="002C28AA">
      <w:pPr>
        <w:pStyle w:val="Heading5"/>
      </w:pPr>
      <w:r>
        <w:rPr>
          <w:rStyle w:val="Strong"/>
          <w:b w:val="0"/>
          <w:bCs w:val="0"/>
        </w:rPr>
        <w:lastRenderedPageBreak/>
        <w:t>Exhibit 16 — Claim Docket Index (Elmer Estate)</w:t>
      </w:r>
    </w:p>
    <w:p w14:paraId="07D5344E" w14:textId="77777777" w:rsidR="002C28AA" w:rsidRDefault="002C28AA" w:rsidP="002C28AA">
      <w:pPr>
        <w:pStyle w:val="NormalWeb"/>
        <w:numPr>
          <w:ilvl w:val="0"/>
          <w:numId w:val="15"/>
        </w:numPr>
      </w:pPr>
      <w:r>
        <w:rPr>
          <w:rStyle w:val="Strong"/>
          <w:rFonts w:eastAsiaTheme="majorEastAsia"/>
        </w:rPr>
        <w:t>Date / issuer:</w:t>
      </w:r>
      <w:r>
        <w:t xml:space="preserve"> October 3, 2024; Harris County Clerk.</w:t>
      </w:r>
    </w:p>
    <w:p w14:paraId="19443BAD" w14:textId="77777777" w:rsidR="002C28AA" w:rsidRDefault="002C28AA" w:rsidP="002C28AA">
      <w:pPr>
        <w:pStyle w:val="NormalWeb"/>
        <w:numPr>
          <w:ilvl w:val="0"/>
          <w:numId w:val="15"/>
        </w:numPr>
      </w:pPr>
      <w:r>
        <w:rPr>
          <w:rStyle w:val="Strong"/>
          <w:rFonts w:eastAsiaTheme="majorEastAsia"/>
        </w:rPr>
        <w:t>Key finding:</w:t>
      </w:r>
      <w:r>
        <w:t xml:space="preserve"> </w:t>
      </w:r>
      <w:r>
        <w:rPr>
          <w:rStyle w:val="Strong"/>
          <w:rFonts w:eastAsiaTheme="majorEastAsia"/>
        </w:rPr>
        <w:t>No creditor claims</w:t>
      </w:r>
      <w:r>
        <w:t xml:space="preserve"> were ever filed under Cause No. 412,248; the docket contains only initiation documents, probate filings, the inventory, the drop order, and a post</w:t>
      </w:r>
      <w:r>
        <w:noBreakHyphen/>
        <w:t>closure 2015 resignation attempt.</w:t>
      </w:r>
    </w:p>
    <w:p w14:paraId="69B21D2F" w14:textId="77777777" w:rsidR="002C28AA" w:rsidRDefault="002C28AA" w:rsidP="002C28AA">
      <w:pPr>
        <w:pStyle w:val="NormalWeb"/>
        <w:numPr>
          <w:ilvl w:val="0"/>
          <w:numId w:val="15"/>
        </w:numPr>
      </w:pPr>
      <w:r>
        <w:rPr>
          <w:rStyle w:val="Strong"/>
          <w:rFonts w:eastAsiaTheme="majorEastAsia"/>
        </w:rPr>
        <w:t>Legal effect:</w:t>
      </w:r>
      <w:r>
        <w:t xml:space="preserve"> Confirms the estate was fully administered and there was no statutory basis to reopen or continue probate jurisdiction.</w:t>
      </w:r>
    </w:p>
    <w:p w14:paraId="71167CE5" w14:textId="77777777" w:rsidR="002C28AA" w:rsidRDefault="002C28AA" w:rsidP="002C28AA">
      <w:pPr>
        <w:pStyle w:val="Heading4"/>
      </w:pPr>
      <w:r>
        <w:t>Integrated legal significance (Est. of Elmer)</w:t>
      </w:r>
    </w:p>
    <w:p w14:paraId="06C261D1" w14:textId="77777777" w:rsidR="002C28AA" w:rsidRDefault="002C28AA" w:rsidP="002C28AA">
      <w:pPr>
        <w:pStyle w:val="NormalWeb"/>
        <w:numPr>
          <w:ilvl w:val="0"/>
          <w:numId w:val="16"/>
        </w:numPr>
      </w:pPr>
      <w:r>
        <w:rPr>
          <w:rStyle w:val="Strong"/>
          <w:rFonts w:eastAsiaTheme="majorEastAsia"/>
        </w:rPr>
        <w:t>Termination of probate jurisdiction:</w:t>
      </w:r>
      <w:r>
        <w:t xml:space="preserve"> The inventory approval (April 2013) and the drop order (April 4, 2013) mark the statutory end of the probate court’s authority over Elmer’s estate under Texas law; absent a statutory exception, the probate court could not lawfully entertain further trust</w:t>
      </w:r>
      <w:r>
        <w:noBreakHyphen/>
        <w:t>related disputes.</w:t>
      </w:r>
    </w:p>
    <w:p w14:paraId="6A2F55E1" w14:textId="77777777" w:rsidR="002C28AA" w:rsidRDefault="002C28AA" w:rsidP="002C28AA">
      <w:pPr>
        <w:pStyle w:val="NormalWeb"/>
        <w:numPr>
          <w:ilvl w:val="0"/>
          <w:numId w:val="16"/>
        </w:numPr>
      </w:pPr>
      <w:r>
        <w:rPr>
          <w:rStyle w:val="Strong"/>
          <w:rFonts w:eastAsiaTheme="majorEastAsia"/>
        </w:rPr>
        <w:t>Trust as the controlling forum:</w:t>
      </w:r>
      <w:r>
        <w:t xml:space="preserve"> The will’s </w:t>
      </w:r>
      <w:proofErr w:type="spellStart"/>
      <w:r>
        <w:t>pourover</w:t>
      </w:r>
      <w:proofErr w:type="spellEnd"/>
      <w:r>
        <w:t xml:space="preserve"> language and the trust instruments place substantive control of assets and disputes in the trust framework; trust disputes belong in the forum authorized by the trust and applicable trust statutes, not in a closed probate docket.</w:t>
      </w:r>
    </w:p>
    <w:p w14:paraId="34FE9977" w14:textId="77777777" w:rsidR="002C28AA" w:rsidRDefault="002C28AA" w:rsidP="002C28AA">
      <w:pPr>
        <w:pStyle w:val="NormalWeb"/>
        <w:numPr>
          <w:ilvl w:val="0"/>
          <w:numId w:val="16"/>
        </w:numPr>
      </w:pPr>
      <w:r>
        <w:rPr>
          <w:rStyle w:val="Strong"/>
          <w:rFonts w:eastAsiaTheme="majorEastAsia"/>
        </w:rPr>
        <w:t>Voidness of later ancillary dockets:</w:t>
      </w:r>
      <w:r>
        <w:t xml:space="preserve"> Any later filings labeled as “412,248xxx” that post</w:t>
      </w:r>
      <w:r>
        <w:noBreakHyphen/>
        <w:t>date the drop order and inventory approval lack subject</w:t>
      </w:r>
      <w:r>
        <w:noBreakHyphen/>
        <w:t>matter jurisdiction and are void ab initio unless a narrow statutory exception applies.</w:t>
      </w:r>
    </w:p>
    <w:p w14:paraId="26524652" w14:textId="77777777" w:rsidR="002C28AA" w:rsidRDefault="002C28AA" w:rsidP="002C28AA">
      <w:pPr>
        <w:pStyle w:val="Heading4"/>
      </w:pPr>
      <w:r>
        <w:t>Practical implications for litigation strategy</w:t>
      </w:r>
    </w:p>
    <w:p w14:paraId="3D607455" w14:textId="77777777" w:rsidR="002C28AA" w:rsidRDefault="002C28AA" w:rsidP="002C28AA">
      <w:pPr>
        <w:pStyle w:val="NormalWeb"/>
        <w:numPr>
          <w:ilvl w:val="0"/>
          <w:numId w:val="17"/>
        </w:numPr>
      </w:pPr>
      <w:r>
        <w:rPr>
          <w:rStyle w:val="Strong"/>
          <w:rFonts w:eastAsiaTheme="majorEastAsia"/>
        </w:rPr>
        <w:t>Preserve and emphasize the inventory approval and drop order</w:t>
      </w:r>
      <w:r>
        <w:t xml:space="preserve"> as dispositive jurisdictional facts in any motion to dismiss or challenge to probate</w:t>
      </w:r>
      <w:r>
        <w:noBreakHyphen/>
        <w:t>court actions filed after April 2013.</w:t>
      </w:r>
    </w:p>
    <w:p w14:paraId="385BB1BA" w14:textId="77777777" w:rsidR="002C28AA" w:rsidRDefault="002C28AA" w:rsidP="002C28AA">
      <w:pPr>
        <w:pStyle w:val="NormalWeb"/>
        <w:numPr>
          <w:ilvl w:val="0"/>
          <w:numId w:val="17"/>
        </w:numPr>
      </w:pPr>
      <w:r>
        <w:rPr>
          <w:rStyle w:val="Strong"/>
          <w:rFonts w:eastAsiaTheme="majorEastAsia"/>
        </w:rPr>
        <w:t>Frame disputes over trust administration</w:t>
      </w:r>
      <w:r>
        <w:t xml:space="preserve"> as matters for the appropriate civil forum (district court or federal court where jurisdiction exists), relying on the will’s independent</w:t>
      </w:r>
      <w:r>
        <w:noBreakHyphen/>
        <w:t>administration mandate and the statutory bar on further probate action after inventory approval.</w:t>
      </w:r>
    </w:p>
    <w:p w14:paraId="30BE0609" w14:textId="77777777" w:rsidR="002C28AA" w:rsidRDefault="002C28AA" w:rsidP="002C28AA">
      <w:pPr>
        <w:pStyle w:val="NormalWeb"/>
        <w:numPr>
          <w:ilvl w:val="0"/>
          <w:numId w:val="17"/>
        </w:numPr>
      </w:pPr>
      <w:r>
        <w:rPr>
          <w:rStyle w:val="Strong"/>
          <w:rFonts w:eastAsiaTheme="majorEastAsia"/>
        </w:rPr>
        <w:t>Use the Claim Docket Index</w:t>
      </w:r>
      <w:r>
        <w:t xml:space="preserve"> to rebut any assertion that creditor claims or other probate</w:t>
      </w:r>
      <w:r>
        <w:noBreakHyphen/>
        <w:t>based exceptions justify reopening the estate; the index shows no claims were filed and the estate was closed.</w:t>
      </w:r>
    </w:p>
    <w:p w14:paraId="04FA5C78" w14:textId="77777777" w:rsidR="002C28AA" w:rsidRDefault="002C28AA" w:rsidP="002C28AA">
      <w:pPr>
        <w:pStyle w:val="NormalWeb"/>
      </w:pPr>
      <w:r>
        <w:rPr>
          <w:rStyle w:val="Strong"/>
          <w:rFonts w:eastAsiaTheme="majorEastAsia"/>
        </w:rPr>
        <w:t>Next in the memorandum (Part 3 of 4):</w:t>
      </w:r>
      <w:r>
        <w:t xml:space="preserve"> </w:t>
      </w:r>
    </w:p>
    <w:p w14:paraId="5D3BFC8F" w14:textId="77777777" w:rsidR="002C28AA" w:rsidRDefault="002C28AA" w:rsidP="002C28AA">
      <w:pPr>
        <w:pStyle w:val="Heading3"/>
        <w:rPr>
          <w:sz w:val="27"/>
          <w:szCs w:val="27"/>
        </w:rPr>
      </w:pPr>
      <w:r>
        <w:t>Summary of Exhibits 21–27 (Estate of Nelva E. Brunsting)</w:t>
      </w:r>
    </w:p>
    <w:p w14:paraId="6154EBFD" w14:textId="77777777" w:rsidR="002C28AA" w:rsidRDefault="002C28AA" w:rsidP="002C28AA">
      <w:pPr>
        <w:pStyle w:val="NormalWeb"/>
      </w:pPr>
      <w:r>
        <w:rPr>
          <w:rStyle w:val="Strong"/>
          <w:rFonts w:eastAsiaTheme="majorEastAsia"/>
        </w:rPr>
        <w:t>Page 6</w:t>
      </w:r>
    </w:p>
    <w:p w14:paraId="11EE3449" w14:textId="77777777" w:rsidR="002C28AA" w:rsidRDefault="002C28AA" w:rsidP="002C28AA">
      <w:pPr>
        <w:pStyle w:val="Heading4"/>
      </w:pPr>
      <w:r>
        <w:lastRenderedPageBreak/>
        <w:t>Executive summary</w:t>
      </w:r>
    </w:p>
    <w:p w14:paraId="7A589328" w14:textId="77777777" w:rsidR="002C28AA" w:rsidRDefault="002C28AA" w:rsidP="002C28AA">
      <w:pPr>
        <w:pStyle w:val="NormalWeb"/>
        <w:numPr>
          <w:ilvl w:val="0"/>
          <w:numId w:val="18"/>
        </w:numPr>
      </w:pPr>
      <w:r>
        <w:rPr>
          <w:rStyle w:val="Strong"/>
          <w:rFonts w:eastAsiaTheme="majorEastAsia"/>
        </w:rPr>
        <w:t>Core fact:</w:t>
      </w:r>
      <w:r>
        <w:t xml:space="preserve"> Nelva E. Brunsting died on </w:t>
      </w:r>
      <w:r>
        <w:rPr>
          <w:rStyle w:val="Strong"/>
          <w:rFonts w:eastAsiaTheme="majorEastAsia"/>
        </w:rPr>
        <w:t>November 11, 2011</w:t>
      </w:r>
      <w:r>
        <w:t xml:space="preserve">; her January 12, 2005 will </w:t>
      </w:r>
      <w:proofErr w:type="gramStart"/>
      <w:r>
        <w:t>devised</w:t>
      </w:r>
      <w:proofErr w:type="gramEnd"/>
      <w:r>
        <w:t xml:space="preserve"> all property to the Brunsting Family Living Trust and required </w:t>
      </w:r>
      <w:r>
        <w:rPr>
          <w:rStyle w:val="Strong"/>
          <w:rFonts w:eastAsiaTheme="majorEastAsia"/>
        </w:rPr>
        <w:t>independent administration</w:t>
      </w:r>
      <w:r>
        <w:t>.</w:t>
      </w:r>
    </w:p>
    <w:p w14:paraId="3312600A" w14:textId="77777777" w:rsidR="002C28AA" w:rsidRDefault="002C28AA" w:rsidP="002C28AA">
      <w:pPr>
        <w:pStyle w:val="NormalWeb"/>
        <w:numPr>
          <w:ilvl w:val="0"/>
          <w:numId w:val="18"/>
        </w:numPr>
      </w:pPr>
      <w:r>
        <w:rPr>
          <w:rStyle w:val="Strong"/>
          <w:rFonts w:eastAsiaTheme="majorEastAsia"/>
        </w:rPr>
        <w:t>Procedural end point:</w:t>
      </w:r>
      <w:r>
        <w:t xml:space="preserve"> The probate court approved the inventory and entered a drop order in early April 2013, after which the court’s jurisdiction over Nelva’s estate terminated under the applicable Texas probate and estates statutes.</w:t>
      </w:r>
    </w:p>
    <w:p w14:paraId="62FB38DF" w14:textId="77777777" w:rsidR="002C28AA" w:rsidRDefault="002C28AA" w:rsidP="002C28AA">
      <w:pPr>
        <w:pStyle w:val="NormalWeb"/>
      </w:pPr>
      <w:r>
        <w:rPr>
          <w:rStyle w:val="Strong"/>
          <w:rFonts w:eastAsiaTheme="majorEastAsia"/>
        </w:rPr>
        <w:t>From the record:</w:t>
      </w:r>
      <w:r>
        <w:t xml:space="preserve"> “Nelva died November 11, 2011 in Harris County.” </w:t>
      </w:r>
      <w:r>
        <w:rPr>
          <w:rStyle w:val="Strong"/>
          <w:rFonts w:eastAsiaTheme="majorEastAsia"/>
        </w:rPr>
        <w:t>From the record:</w:t>
      </w:r>
      <w:r>
        <w:t xml:space="preserve"> “This affidavit satisfied the statutory prerequisites for admitting the will to probate and issuing Letters Testamentary.”</w:t>
      </w:r>
    </w:p>
    <w:p w14:paraId="5AC1A9AA" w14:textId="77777777" w:rsidR="002C28AA" w:rsidRDefault="002C28AA" w:rsidP="002C28AA">
      <w:pPr>
        <w:pStyle w:val="Heading4"/>
      </w:pPr>
      <w:r>
        <w:t>Exhibit-by-exhibit summary</w:t>
      </w:r>
    </w:p>
    <w:p w14:paraId="5296B2C0" w14:textId="77777777" w:rsidR="002C28AA" w:rsidRDefault="002C28AA" w:rsidP="002C28AA">
      <w:pPr>
        <w:pStyle w:val="Heading5"/>
      </w:pPr>
      <w:r>
        <w:rPr>
          <w:rStyle w:val="Strong"/>
          <w:b w:val="0"/>
          <w:bCs w:val="0"/>
        </w:rPr>
        <w:t>Exhibit 21 — Proof of Death and Other Facts (Nelva)</w:t>
      </w:r>
    </w:p>
    <w:p w14:paraId="7A546157" w14:textId="77777777" w:rsidR="002C28AA" w:rsidRDefault="002C28AA" w:rsidP="002C28AA">
      <w:pPr>
        <w:pStyle w:val="NormalWeb"/>
        <w:numPr>
          <w:ilvl w:val="0"/>
          <w:numId w:val="19"/>
        </w:numPr>
      </w:pPr>
      <w:r>
        <w:rPr>
          <w:rStyle w:val="Strong"/>
          <w:rFonts w:eastAsiaTheme="majorEastAsia"/>
        </w:rPr>
        <w:t>Date / purpose:</w:t>
      </w:r>
      <w:r>
        <w:t xml:space="preserve"> August 28, 2012; affidavit establishing death, existence of a will, successor executor, and necessity for administration.</w:t>
      </w:r>
    </w:p>
    <w:p w14:paraId="12272E89" w14:textId="77777777" w:rsidR="002C28AA" w:rsidRDefault="002C28AA" w:rsidP="002C28AA">
      <w:pPr>
        <w:pStyle w:val="NormalWeb"/>
        <w:numPr>
          <w:ilvl w:val="0"/>
          <w:numId w:val="19"/>
        </w:numPr>
      </w:pPr>
      <w:r>
        <w:rPr>
          <w:rStyle w:val="Strong"/>
          <w:rFonts w:eastAsiaTheme="majorEastAsia"/>
        </w:rPr>
        <w:t>Key legal effect:</w:t>
      </w:r>
      <w:r>
        <w:t xml:space="preserve"> Satisfied statutory prerequisites for admitting the will to probate and issuing Letters Testamentary, enabling ministerial probate steps that were limited by the will’s independent</w:t>
      </w:r>
      <w:r>
        <w:noBreakHyphen/>
        <w:t>administration mandate.</w:t>
      </w:r>
    </w:p>
    <w:p w14:paraId="0430EEDA" w14:textId="77777777" w:rsidR="002C28AA" w:rsidRDefault="002C28AA" w:rsidP="002C28AA">
      <w:pPr>
        <w:pStyle w:val="Heading5"/>
      </w:pPr>
      <w:r>
        <w:rPr>
          <w:rStyle w:val="Strong"/>
          <w:b w:val="0"/>
          <w:bCs w:val="0"/>
        </w:rPr>
        <w:t>Exhibit 22 — Last Will and Testament of Nelva E. Brunsting (2005)</w:t>
      </w:r>
    </w:p>
    <w:p w14:paraId="6447D3B2" w14:textId="77777777" w:rsidR="002C28AA" w:rsidRDefault="002C28AA" w:rsidP="002C28AA">
      <w:pPr>
        <w:pStyle w:val="NormalWeb"/>
        <w:numPr>
          <w:ilvl w:val="0"/>
          <w:numId w:val="20"/>
        </w:numPr>
      </w:pPr>
      <w:r>
        <w:rPr>
          <w:rStyle w:val="Strong"/>
          <w:rFonts w:eastAsiaTheme="majorEastAsia"/>
        </w:rPr>
        <w:t>Substance:</w:t>
      </w:r>
      <w:r>
        <w:t xml:space="preserve"> The will directs that </w:t>
      </w:r>
      <w:r>
        <w:rPr>
          <w:rStyle w:val="Strong"/>
          <w:rFonts w:eastAsiaTheme="majorEastAsia"/>
        </w:rPr>
        <w:t>all property be devised to the Brunsting Family Living Trust</w:t>
      </w:r>
      <w:r>
        <w:t xml:space="preserve">, requires </w:t>
      </w:r>
      <w:r>
        <w:rPr>
          <w:rStyle w:val="Strong"/>
          <w:rFonts w:eastAsiaTheme="majorEastAsia"/>
        </w:rPr>
        <w:t>independent administration</w:t>
      </w:r>
      <w:r>
        <w:t xml:space="preserve">, and sets a clear </w:t>
      </w:r>
      <w:r>
        <w:rPr>
          <w:rStyle w:val="Strong"/>
          <w:rFonts w:eastAsiaTheme="majorEastAsia"/>
        </w:rPr>
        <w:t>personal representative succession</w:t>
      </w:r>
      <w:r>
        <w:t xml:space="preserve"> (Elmer → Carl → Amy → Candace).</w:t>
      </w:r>
    </w:p>
    <w:p w14:paraId="32913DD7" w14:textId="77777777" w:rsidR="002C28AA" w:rsidRDefault="002C28AA" w:rsidP="002C28AA">
      <w:pPr>
        <w:pStyle w:val="NormalWeb"/>
        <w:numPr>
          <w:ilvl w:val="0"/>
          <w:numId w:val="20"/>
        </w:numPr>
      </w:pPr>
      <w:r>
        <w:rPr>
          <w:rStyle w:val="Strong"/>
          <w:rFonts w:eastAsiaTheme="majorEastAsia"/>
        </w:rPr>
        <w:t>Legal effect:</w:t>
      </w:r>
      <w:r>
        <w:t xml:space="preserve"> The will’s </w:t>
      </w:r>
      <w:proofErr w:type="spellStart"/>
      <w:r>
        <w:t>pourover</w:t>
      </w:r>
      <w:proofErr w:type="spellEnd"/>
      <w:r>
        <w:t xml:space="preserve"> language and independent</w:t>
      </w:r>
      <w:r>
        <w:noBreakHyphen/>
        <w:t>administration clause confine probate court involvement to narrow statutory tasks and vest substantive control in the trust framework.</w:t>
      </w:r>
    </w:p>
    <w:p w14:paraId="08FE2359" w14:textId="77777777" w:rsidR="002C28AA" w:rsidRDefault="002C28AA" w:rsidP="002C28AA">
      <w:pPr>
        <w:pStyle w:val="Heading5"/>
      </w:pPr>
      <w:r>
        <w:rPr>
          <w:rStyle w:val="Strong"/>
          <w:b w:val="0"/>
          <w:bCs w:val="0"/>
        </w:rPr>
        <w:t>Exhibit 23 — Order Admitting Will to Probate &amp; Issuing Letters Testamentary (Nelva)</w:t>
      </w:r>
    </w:p>
    <w:p w14:paraId="189EB054" w14:textId="77777777" w:rsidR="002C28AA" w:rsidRDefault="002C28AA" w:rsidP="002C28AA">
      <w:pPr>
        <w:pStyle w:val="NormalWeb"/>
        <w:numPr>
          <w:ilvl w:val="0"/>
          <w:numId w:val="21"/>
        </w:numPr>
      </w:pPr>
      <w:r>
        <w:rPr>
          <w:rStyle w:val="Strong"/>
          <w:rFonts w:eastAsiaTheme="majorEastAsia"/>
        </w:rPr>
        <w:t>Date / judge:</w:t>
      </w:r>
      <w:r>
        <w:t xml:space="preserve"> August 28, 2012; Probate Court No. 4, Judge Christine Butts.</w:t>
      </w:r>
    </w:p>
    <w:p w14:paraId="1ADF3353" w14:textId="77777777" w:rsidR="002C28AA" w:rsidRDefault="002C28AA" w:rsidP="002C28AA">
      <w:pPr>
        <w:pStyle w:val="NormalWeb"/>
        <w:numPr>
          <w:ilvl w:val="0"/>
          <w:numId w:val="21"/>
        </w:numPr>
      </w:pPr>
      <w:r>
        <w:rPr>
          <w:rStyle w:val="Strong"/>
          <w:rFonts w:eastAsiaTheme="majorEastAsia"/>
        </w:rPr>
        <w:t>Orders:</w:t>
      </w:r>
      <w:r>
        <w:t xml:space="preserve"> Will admitted; </w:t>
      </w:r>
      <w:r>
        <w:rPr>
          <w:rStyle w:val="Strong"/>
          <w:rFonts w:eastAsiaTheme="majorEastAsia"/>
        </w:rPr>
        <w:t>Carl appointed Independent Executor without bond</w:t>
      </w:r>
      <w:r>
        <w:t>; court directed only ministerial follow</w:t>
      </w:r>
      <w:r>
        <w:noBreakHyphen/>
        <w:t>up (inventory or affidavit in lieu).</w:t>
      </w:r>
    </w:p>
    <w:p w14:paraId="7FC0C274" w14:textId="77777777" w:rsidR="002C28AA" w:rsidRDefault="002C28AA" w:rsidP="002C28AA">
      <w:pPr>
        <w:pStyle w:val="NormalWeb"/>
        <w:numPr>
          <w:ilvl w:val="0"/>
          <w:numId w:val="21"/>
        </w:numPr>
      </w:pPr>
      <w:r>
        <w:rPr>
          <w:rStyle w:val="Strong"/>
          <w:rFonts w:eastAsiaTheme="majorEastAsia"/>
        </w:rPr>
        <w:t>Legal effect:</w:t>
      </w:r>
      <w:r>
        <w:t xml:space="preserve"> The order limited the court’s role to the narrow duties of independent administration and set the procedural path toward termination of probate jurisdiction once inventory matters were completed.</w:t>
      </w:r>
    </w:p>
    <w:p w14:paraId="20F0CB09" w14:textId="77777777" w:rsidR="002C28AA" w:rsidRDefault="002C28AA" w:rsidP="002C28AA">
      <w:pPr>
        <w:pStyle w:val="Heading5"/>
      </w:pPr>
      <w:r>
        <w:rPr>
          <w:rStyle w:val="Strong"/>
          <w:b w:val="0"/>
          <w:bCs w:val="0"/>
        </w:rPr>
        <w:lastRenderedPageBreak/>
        <w:t>Exhibit 24 — Inventory, Appraisement &amp; List of Claims (Nelva) + Order Approving Inventory</w:t>
      </w:r>
    </w:p>
    <w:p w14:paraId="50A9EB84" w14:textId="77777777" w:rsidR="002C28AA" w:rsidRDefault="002C28AA" w:rsidP="002C28AA">
      <w:pPr>
        <w:pStyle w:val="NormalWeb"/>
        <w:numPr>
          <w:ilvl w:val="0"/>
          <w:numId w:val="22"/>
        </w:numPr>
      </w:pPr>
      <w:r>
        <w:rPr>
          <w:rStyle w:val="Strong"/>
          <w:rFonts w:eastAsiaTheme="majorEastAsia"/>
        </w:rPr>
        <w:t>Filed / approved:</w:t>
      </w:r>
      <w:r>
        <w:t xml:space="preserve"> Filed March 26, 2013; approved April 5, 2013.</w:t>
      </w:r>
    </w:p>
    <w:p w14:paraId="21BCF93A" w14:textId="77777777" w:rsidR="002C28AA" w:rsidRDefault="002C28AA" w:rsidP="002C28AA">
      <w:pPr>
        <w:pStyle w:val="NormalWeb"/>
        <w:numPr>
          <w:ilvl w:val="0"/>
          <w:numId w:val="22"/>
        </w:numPr>
      </w:pPr>
      <w:r>
        <w:rPr>
          <w:rStyle w:val="Strong"/>
          <w:rFonts w:eastAsiaTheme="majorEastAsia"/>
        </w:rPr>
        <w:t>Key points:</w:t>
      </w:r>
      <w:r>
        <w:t xml:space="preserve"> Inventory approved without objection; executor noted incomplete asset information and reserved the possibility of future judicial proceedings only if necessary; asserted claims included malpractice and alleged removals.</w:t>
      </w:r>
    </w:p>
    <w:p w14:paraId="69B1EA7A" w14:textId="77777777" w:rsidR="002C28AA" w:rsidRDefault="002C28AA" w:rsidP="002C28AA">
      <w:pPr>
        <w:pStyle w:val="NormalWeb"/>
        <w:numPr>
          <w:ilvl w:val="0"/>
          <w:numId w:val="22"/>
        </w:numPr>
      </w:pPr>
      <w:r>
        <w:rPr>
          <w:rStyle w:val="Strong"/>
          <w:rFonts w:eastAsiaTheme="majorEastAsia"/>
        </w:rPr>
        <w:t>Legal effect:</w:t>
      </w:r>
      <w:r>
        <w:t xml:space="preserve"> Under Texas Estates Code § 402.001, approval of the inventory is the statutory trigger that ends the probate court’s active jurisdiction over the estate except as expressly authorized by statute.</w:t>
      </w:r>
    </w:p>
    <w:p w14:paraId="697D444D" w14:textId="77777777" w:rsidR="002C28AA" w:rsidRDefault="002C28AA" w:rsidP="002C28AA">
      <w:pPr>
        <w:pStyle w:val="Heading5"/>
      </w:pPr>
      <w:r>
        <w:rPr>
          <w:rStyle w:val="Strong"/>
          <w:b w:val="0"/>
          <w:bCs w:val="0"/>
        </w:rPr>
        <w:t>Exhibit 25 — Order Approving Inventory (duplicate)</w:t>
      </w:r>
    </w:p>
    <w:p w14:paraId="05B23317" w14:textId="77777777" w:rsidR="002C28AA" w:rsidRDefault="002C28AA" w:rsidP="002C28AA">
      <w:pPr>
        <w:pStyle w:val="NormalWeb"/>
        <w:numPr>
          <w:ilvl w:val="0"/>
          <w:numId w:val="23"/>
        </w:numPr>
      </w:pPr>
      <w:r>
        <w:rPr>
          <w:rStyle w:val="Strong"/>
          <w:rFonts w:eastAsiaTheme="majorEastAsia"/>
        </w:rPr>
        <w:t>Date / judge:</w:t>
      </w:r>
      <w:r>
        <w:t xml:space="preserve"> April 4, 2013; Judge Christine Butts.</w:t>
      </w:r>
    </w:p>
    <w:p w14:paraId="205EA929" w14:textId="77777777" w:rsidR="002C28AA" w:rsidRDefault="002C28AA" w:rsidP="002C28AA">
      <w:pPr>
        <w:pStyle w:val="NormalWeb"/>
        <w:numPr>
          <w:ilvl w:val="0"/>
          <w:numId w:val="23"/>
        </w:numPr>
      </w:pPr>
      <w:r>
        <w:rPr>
          <w:rStyle w:val="Strong"/>
          <w:rFonts w:eastAsiaTheme="majorEastAsia"/>
        </w:rPr>
        <w:t>Orders:</w:t>
      </w:r>
      <w:r>
        <w:t xml:space="preserve"> Inventory approved; no objections filed.</w:t>
      </w:r>
    </w:p>
    <w:p w14:paraId="6A8C5F63" w14:textId="77777777" w:rsidR="002C28AA" w:rsidRDefault="002C28AA" w:rsidP="002C28AA">
      <w:pPr>
        <w:pStyle w:val="NormalWeb"/>
        <w:numPr>
          <w:ilvl w:val="0"/>
          <w:numId w:val="23"/>
        </w:numPr>
      </w:pPr>
      <w:r>
        <w:rPr>
          <w:rStyle w:val="Strong"/>
          <w:rFonts w:eastAsiaTheme="majorEastAsia"/>
        </w:rPr>
        <w:t>Legal effect:</w:t>
      </w:r>
      <w:r>
        <w:t xml:space="preserve"> Confirms the estate satisfied statutory requirements for closure and supports the conclusion that the probate court’s active jurisdiction terminated.</w:t>
      </w:r>
    </w:p>
    <w:p w14:paraId="26343C79" w14:textId="77777777" w:rsidR="002C28AA" w:rsidRDefault="002C28AA" w:rsidP="002C28AA">
      <w:pPr>
        <w:pStyle w:val="Heading5"/>
      </w:pPr>
      <w:r>
        <w:rPr>
          <w:rStyle w:val="Strong"/>
          <w:b w:val="0"/>
          <w:bCs w:val="0"/>
        </w:rPr>
        <w:t>Exhibit 26 — Drop Order (Nelva Estate)</w:t>
      </w:r>
    </w:p>
    <w:p w14:paraId="3D00A9D3" w14:textId="77777777" w:rsidR="002C28AA" w:rsidRDefault="002C28AA" w:rsidP="002C28AA">
      <w:pPr>
        <w:pStyle w:val="NormalWeb"/>
        <w:numPr>
          <w:ilvl w:val="0"/>
          <w:numId w:val="24"/>
        </w:numPr>
      </w:pPr>
      <w:r>
        <w:rPr>
          <w:rStyle w:val="Strong"/>
          <w:rFonts w:eastAsiaTheme="majorEastAsia"/>
        </w:rPr>
        <w:t>Date / judge:</w:t>
      </w:r>
      <w:r>
        <w:t xml:space="preserve"> April 4, 2013; Judge Christine Butts.</w:t>
      </w:r>
    </w:p>
    <w:p w14:paraId="5D7FE283" w14:textId="77777777" w:rsidR="002C28AA" w:rsidRDefault="002C28AA" w:rsidP="002C28AA">
      <w:pPr>
        <w:pStyle w:val="NormalWeb"/>
        <w:numPr>
          <w:ilvl w:val="0"/>
          <w:numId w:val="24"/>
        </w:numPr>
      </w:pPr>
      <w:r>
        <w:rPr>
          <w:rStyle w:val="Strong"/>
          <w:rFonts w:eastAsiaTheme="majorEastAsia"/>
        </w:rPr>
        <w:t>Orders:</w:t>
      </w:r>
      <w:r>
        <w:t xml:space="preserve"> Estate dropped from the active docket; costs waived.</w:t>
      </w:r>
    </w:p>
    <w:p w14:paraId="0E2193C9" w14:textId="77777777" w:rsidR="002C28AA" w:rsidRDefault="002C28AA" w:rsidP="002C28AA">
      <w:pPr>
        <w:pStyle w:val="NormalWeb"/>
        <w:numPr>
          <w:ilvl w:val="0"/>
          <w:numId w:val="24"/>
        </w:numPr>
      </w:pPr>
      <w:r>
        <w:rPr>
          <w:rStyle w:val="Strong"/>
          <w:rFonts w:eastAsiaTheme="majorEastAsia"/>
        </w:rPr>
        <w:t>Legal effect:</w:t>
      </w:r>
      <w:r>
        <w:t xml:space="preserve"> Formal closure of the estate; after this order there was </w:t>
      </w:r>
      <w:r>
        <w:rPr>
          <w:rStyle w:val="Strong"/>
          <w:rFonts w:eastAsiaTheme="majorEastAsia"/>
        </w:rPr>
        <w:t>no executor before the court and no estate under administration</w:t>
      </w:r>
      <w:r>
        <w:t>, so subsequent filings under the original cause number are void for lack of subject</w:t>
      </w:r>
      <w:r>
        <w:noBreakHyphen/>
        <w:t>matter jurisdiction unless a statutory exception applies.</w:t>
      </w:r>
    </w:p>
    <w:p w14:paraId="392F317B" w14:textId="77777777" w:rsidR="002C28AA" w:rsidRDefault="002C28AA" w:rsidP="002C28AA">
      <w:pPr>
        <w:pStyle w:val="Heading5"/>
      </w:pPr>
      <w:r>
        <w:rPr>
          <w:rStyle w:val="Strong"/>
          <w:b w:val="0"/>
          <w:bCs w:val="0"/>
        </w:rPr>
        <w:t>Exhibit 27 — Claim Docket Index (Nelva Estate)</w:t>
      </w:r>
    </w:p>
    <w:p w14:paraId="6289FCA5" w14:textId="77777777" w:rsidR="002C28AA" w:rsidRDefault="002C28AA" w:rsidP="002C28AA">
      <w:pPr>
        <w:pStyle w:val="NormalWeb"/>
        <w:numPr>
          <w:ilvl w:val="0"/>
          <w:numId w:val="25"/>
        </w:numPr>
      </w:pPr>
      <w:r>
        <w:rPr>
          <w:rStyle w:val="Strong"/>
          <w:rFonts w:eastAsiaTheme="majorEastAsia"/>
        </w:rPr>
        <w:t>Date / issuer:</w:t>
      </w:r>
      <w:r>
        <w:t xml:space="preserve"> October 3, 2024; Harris County Clerk.</w:t>
      </w:r>
    </w:p>
    <w:p w14:paraId="62AE3249" w14:textId="77777777" w:rsidR="002C28AA" w:rsidRDefault="002C28AA" w:rsidP="002C28AA">
      <w:pPr>
        <w:pStyle w:val="NormalWeb"/>
        <w:numPr>
          <w:ilvl w:val="0"/>
          <w:numId w:val="25"/>
        </w:numPr>
      </w:pPr>
      <w:r>
        <w:rPr>
          <w:rStyle w:val="Strong"/>
          <w:rFonts w:eastAsiaTheme="majorEastAsia"/>
        </w:rPr>
        <w:t>Key finding:</w:t>
      </w:r>
      <w:r>
        <w:t xml:space="preserve"> </w:t>
      </w:r>
      <w:r>
        <w:rPr>
          <w:rStyle w:val="Strong"/>
          <w:rFonts w:eastAsiaTheme="majorEastAsia"/>
        </w:rPr>
        <w:t>No creditor claims</w:t>
      </w:r>
      <w:r>
        <w:t xml:space="preserve"> were ever filed under Cause No. 412,249; the docket contains only initiation documents, probate filings, the inventory, the drop order, and later miscellaneous filings after the estate was closed.</w:t>
      </w:r>
    </w:p>
    <w:p w14:paraId="4FCC0D62" w14:textId="77777777" w:rsidR="002C28AA" w:rsidRDefault="002C28AA" w:rsidP="002C28AA">
      <w:pPr>
        <w:pStyle w:val="NormalWeb"/>
        <w:numPr>
          <w:ilvl w:val="0"/>
          <w:numId w:val="25"/>
        </w:numPr>
      </w:pPr>
      <w:r>
        <w:rPr>
          <w:rStyle w:val="Strong"/>
          <w:rFonts w:eastAsiaTheme="majorEastAsia"/>
        </w:rPr>
        <w:t>Legal effect:</w:t>
      </w:r>
      <w:r>
        <w:t xml:space="preserve"> Confirms the estate was fully administered and there was no statutory basis to reopen or continue probate jurisdiction.</w:t>
      </w:r>
    </w:p>
    <w:p w14:paraId="622A53E6" w14:textId="77777777" w:rsidR="002C28AA" w:rsidRDefault="002C28AA" w:rsidP="002C28AA">
      <w:pPr>
        <w:pStyle w:val="Heading4"/>
      </w:pPr>
      <w:r>
        <w:t>Integrated legal significance (Est. of Nelva)</w:t>
      </w:r>
    </w:p>
    <w:p w14:paraId="0CE17C98" w14:textId="77777777" w:rsidR="002C28AA" w:rsidRDefault="002C28AA" w:rsidP="002C28AA">
      <w:pPr>
        <w:pStyle w:val="NormalWeb"/>
        <w:numPr>
          <w:ilvl w:val="0"/>
          <w:numId w:val="26"/>
        </w:numPr>
      </w:pPr>
      <w:r>
        <w:rPr>
          <w:rStyle w:val="Strong"/>
          <w:rFonts w:eastAsiaTheme="majorEastAsia"/>
        </w:rPr>
        <w:t>Termination of probate jurisdiction:</w:t>
      </w:r>
      <w:r>
        <w:t xml:space="preserve"> The inventory approval and drop order in April 2013 mark the statutory end of the probate court’s authority over Nelva’s estate under </w:t>
      </w:r>
      <w:r>
        <w:lastRenderedPageBreak/>
        <w:t>Texas law; absent a statutory exception, the probate court could not lawfully entertain further trust</w:t>
      </w:r>
      <w:r>
        <w:noBreakHyphen/>
        <w:t>related disputes.</w:t>
      </w:r>
    </w:p>
    <w:p w14:paraId="4175851F" w14:textId="77777777" w:rsidR="002C28AA" w:rsidRDefault="002C28AA" w:rsidP="002C28AA">
      <w:pPr>
        <w:pStyle w:val="NormalWeb"/>
        <w:numPr>
          <w:ilvl w:val="0"/>
          <w:numId w:val="26"/>
        </w:numPr>
      </w:pPr>
      <w:r>
        <w:rPr>
          <w:rStyle w:val="Strong"/>
          <w:rFonts w:eastAsiaTheme="majorEastAsia"/>
        </w:rPr>
        <w:t>Trust as the controlling forum:</w:t>
      </w:r>
      <w:r>
        <w:t xml:space="preserve"> The will’s </w:t>
      </w:r>
      <w:proofErr w:type="spellStart"/>
      <w:r>
        <w:t>pourover</w:t>
      </w:r>
      <w:proofErr w:type="spellEnd"/>
      <w:r>
        <w:t xml:space="preserve"> language and the trust instruments place substantive control of assets and disputes in the trust framework; trust disputes belong in the forum authorized by the trust and applicable trust statutes, not in a closed probate docket.</w:t>
      </w:r>
    </w:p>
    <w:p w14:paraId="5480CF0D" w14:textId="77777777" w:rsidR="002C28AA" w:rsidRDefault="002C28AA" w:rsidP="002C28AA">
      <w:pPr>
        <w:pStyle w:val="NormalWeb"/>
        <w:numPr>
          <w:ilvl w:val="0"/>
          <w:numId w:val="26"/>
        </w:numPr>
      </w:pPr>
      <w:r>
        <w:rPr>
          <w:rStyle w:val="Strong"/>
          <w:rFonts w:eastAsiaTheme="majorEastAsia"/>
        </w:rPr>
        <w:t>Voidness of later ancillary dockets:</w:t>
      </w:r>
      <w:r>
        <w:t xml:space="preserve"> Any later filings labeled “412,249xxx” that post</w:t>
      </w:r>
      <w:r>
        <w:noBreakHyphen/>
        <w:t>date the drop order and inventory approval lack subject</w:t>
      </w:r>
      <w:r>
        <w:noBreakHyphen/>
        <w:t>matter jurisdiction and are void ab initio unless a narrow statutory exception applies.</w:t>
      </w:r>
    </w:p>
    <w:p w14:paraId="6C9408ED" w14:textId="77777777" w:rsidR="002C28AA" w:rsidRDefault="002C28AA" w:rsidP="002C28AA">
      <w:pPr>
        <w:pStyle w:val="Heading4"/>
      </w:pPr>
      <w:r>
        <w:t>Practical implications for litigation strategy</w:t>
      </w:r>
    </w:p>
    <w:p w14:paraId="062758D3" w14:textId="77777777" w:rsidR="002C28AA" w:rsidRDefault="002C28AA" w:rsidP="002C28AA">
      <w:pPr>
        <w:pStyle w:val="NormalWeb"/>
        <w:numPr>
          <w:ilvl w:val="0"/>
          <w:numId w:val="27"/>
        </w:numPr>
      </w:pPr>
      <w:r>
        <w:rPr>
          <w:rStyle w:val="Strong"/>
          <w:rFonts w:eastAsiaTheme="majorEastAsia"/>
        </w:rPr>
        <w:t>Use the inventory approval and drop order as dispositive jurisdictional facts</w:t>
      </w:r>
      <w:r>
        <w:t xml:space="preserve"> in motions to dismiss or challenges to probate</w:t>
      </w:r>
      <w:r>
        <w:noBreakHyphen/>
        <w:t>court actions filed after April 2013.</w:t>
      </w:r>
    </w:p>
    <w:p w14:paraId="2E873958" w14:textId="77777777" w:rsidR="002C28AA" w:rsidRDefault="002C28AA" w:rsidP="002C28AA">
      <w:pPr>
        <w:pStyle w:val="NormalWeb"/>
        <w:numPr>
          <w:ilvl w:val="0"/>
          <w:numId w:val="27"/>
        </w:numPr>
      </w:pPr>
      <w:r>
        <w:rPr>
          <w:rStyle w:val="Strong"/>
          <w:rFonts w:eastAsiaTheme="majorEastAsia"/>
        </w:rPr>
        <w:t>Emphasize the will’s independent</w:t>
      </w:r>
      <w:r>
        <w:rPr>
          <w:rStyle w:val="Strong"/>
          <w:rFonts w:eastAsiaTheme="majorEastAsia"/>
        </w:rPr>
        <w:noBreakHyphen/>
        <w:t xml:space="preserve">administration clause and </w:t>
      </w:r>
      <w:proofErr w:type="spellStart"/>
      <w:r>
        <w:rPr>
          <w:rStyle w:val="Strong"/>
          <w:rFonts w:eastAsiaTheme="majorEastAsia"/>
        </w:rPr>
        <w:t>pourover</w:t>
      </w:r>
      <w:proofErr w:type="spellEnd"/>
      <w:r>
        <w:rPr>
          <w:rStyle w:val="Strong"/>
          <w:rFonts w:eastAsiaTheme="majorEastAsia"/>
        </w:rPr>
        <w:t xml:space="preserve"> language</w:t>
      </w:r>
      <w:r>
        <w:t xml:space="preserve"> to show that trust administration, not probate, governs post</w:t>
      </w:r>
      <w:r>
        <w:noBreakHyphen/>
        <w:t>death asset disposition and dispute resolution.</w:t>
      </w:r>
    </w:p>
    <w:p w14:paraId="14AFC2A2" w14:textId="77777777" w:rsidR="002C28AA" w:rsidRDefault="002C28AA" w:rsidP="002C28AA">
      <w:pPr>
        <w:pStyle w:val="NormalWeb"/>
        <w:numPr>
          <w:ilvl w:val="0"/>
          <w:numId w:val="27"/>
        </w:numPr>
      </w:pPr>
      <w:r>
        <w:rPr>
          <w:rStyle w:val="Strong"/>
          <w:rFonts w:eastAsiaTheme="majorEastAsia"/>
        </w:rPr>
        <w:t>Rely on the Claim Docket Index</w:t>
      </w:r>
      <w:r>
        <w:t xml:space="preserve"> to rebut any claim that creditor claims or other probate exceptions justify reopening the estate; the index shows no claims were filed and the estate was closed.</w:t>
      </w:r>
    </w:p>
    <w:p w14:paraId="35CA7647" w14:textId="77777777" w:rsidR="002C28AA" w:rsidRDefault="002C28AA" w:rsidP="002C28AA">
      <w:pPr>
        <w:pStyle w:val="NormalWeb"/>
        <w:numPr>
          <w:ilvl w:val="0"/>
          <w:numId w:val="27"/>
        </w:numPr>
      </w:pPr>
      <w:r>
        <w:rPr>
          <w:rStyle w:val="Strong"/>
          <w:rFonts w:eastAsiaTheme="majorEastAsia"/>
        </w:rPr>
        <w:t>If opposing later probate filings, seek a declaratory ruling or injunction</w:t>
      </w:r>
      <w:r>
        <w:t xml:space="preserve"> that the probate court lacks jurisdiction and that any actions taken after the drop order are void ab initio.</w:t>
      </w:r>
    </w:p>
    <w:p w14:paraId="332848D3" w14:textId="77777777" w:rsidR="002C28AA" w:rsidRDefault="002C28AA" w:rsidP="002C28AA">
      <w:pPr>
        <w:pStyle w:val="NormalWeb"/>
      </w:pPr>
      <w:r>
        <w:rPr>
          <w:rStyle w:val="Strong"/>
          <w:rFonts w:eastAsiaTheme="majorEastAsia"/>
        </w:rPr>
        <w:t>Next in the memorandum (Part 4 of 4):</w:t>
      </w:r>
      <w:r>
        <w:t xml:space="preserve"> </w:t>
      </w:r>
      <w:r>
        <w:rPr>
          <w:rStyle w:val="Emphasis"/>
        </w:rPr>
        <w:t>Summary of Trust Instrument Chronology (Exhibits 31–324), Federal Litigation Curtis v. Brunsting (Exhibits 41–44c), Bayless Email Chain, Malpractice Litigation, Carl’s 2013 Petition, and Integrated Legal Conclusions.</w:t>
      </w:r>
    </w:p>
    <w:p w14:paraId="1ECD850C" w14:textId="77777777" w:rsidR="002C28AA" w:rsidRDefault="002C28AA" w:rsidP="002C28AA">
      <w:pPr>
        <w:pStyle w:val="Heading3"/>
        <w:rPr>
          <w:sz w:val="27"/>
          <w:szCs w:val="27"/>
        </w:rPr>
      </w:pPr>
      <w:r>
        <w:t>Summary of Trust Instrument Chronology and Related Litigation</w:t>
      </w:r>
    </w:p>
    <w:p w14:paraId="4D75E345" w14:textId="77777777" w:rsidR="002C28AA" w:rsidRDefault="002C28AA" w:rsidP="002C28AA">
      <w:pPr>
        <w:pStyle w:val="NormalWeb"/>
      </w:pPr>
      <w:r>
        <w:rPr>
          <w:rStyle w:val="Strong"/>
          <w:rFonts w:eastAsiaTheme="majorEastAsia"/>
        </w:rPr>
        <w:t>Page 15</w:t>
      </w:r>
    </w:p>
    <w:p w14:paraId="3E9CAA9A" w14:textId="77777777" w:rsidR="002C28AA" w:rsidRDefault="002C28AA" w:rsidP="002C28AA">
      <w:pPr>
        <w:pStyle w:val="Heading4"/>
      </w:pPr>
      <w:r>
        <w:t>Trust Instrument Chronology Overview</w:t>
      </w:r>
    </w:p>
    <w:p w14:paraId="1B49BC4D" w14:textId="77777777" w:rsidR="002C28AA" w:rsidRDefault="002C28AA" w:rsidP="002C28AA">
      <w:pPr>
        <w:pStyle w:val="NormalWeb"/>
        <w:numPr>
          <w:ilvl w:val="0"/>
          <w:numId w:val="28"/>
        </w:numPr>
      </w:pPr>
      <w:r>
        <w:rPr>
          <w:rStyle w:val="Strong"/>
          <w:rFonts w:eastAsiaTheme="majorEastAsia"/>
        </w:rPr>
        <w:t>Scope:</w:t>
      </w:r>
      <w:r>
        <w:t xml:space="preserve"> Exhibits </w:t>
      </w:r>
      <w:r>
        <w:rPr>
          <w:rStyle w:val="Strong"/>
          <w:rFonts w:eastAsiaTheme="majorEastAsia"/>
        </w:rPr>
        <w:t>31–324</w:t>
      </w:r>
      <w:r>
        <w:t xml:space="preserve"> comprise the original </w:t>
      </w:r>
      <w:r>
        <w:rPr>
          <w:rStyle w:val="Strong"/>
          <w:rFonts w:eastAsiaTheme="majorEastAsia"/>
        </w:rPr>
        <w:t>Brunsting Family Living Trust (1996)</w:t>
      </w:r>
      <w:r>
        <w:t>, subsequent restatements and amendments (notably the 2005 restatement), certificates of trust, Qualified Beneficiary Designations (QBDs), powers of attorney, successor</w:t>
      </w:r>
      <w:r>
        <w:noBreakHyphen/>
        <w:t xml:space="preserve">trustee appointments and resignations, notary logs, and related trust administration records spanning </w:t>
      </w:r>
      <w:r>
        <w:rPr>
          <w:rStyle w:val="Strong"/>
          <w:rFonts w:eastAsiaTheme="majorEastAsia"/>
        </w:rPr>
        <w:t>1996–2010</w:t>
      </w:r>
      <w:r>
        <w:t>.</w:t>
      </w:r>
    </w:p>
    <w:p w14:paraId="76C98E17" w14:textId="77777777" w:rsidR="002C28AA" w:rsidRDefault="002C28AA" w:rsidP="002C28AA">
      <w:pPr>
        <w:pStyle w:val="NormalWeb"/>
        <w:numPr>
          <w:ilvl w:val="0"/>
          <w:numId w:val="28"/>
        </w:numPr>
      </w:pPr>
      <w:r>
        <w:rPr>
          <w:rStyle w:val="Strong"/>
          <w:rFonts w:eastAsiaTheme="majorEastAsia"/>
        </w:rPr>
        <w:t>Core pattern:</w:t>
      </w:r>
      <w:r>
        <w:t xml:space="preserve"> The documentary record shows repeated trustee appointments and successor designations in 2008–2010, multiple certificates of trust and QBDs dated </w:t>
      </w:r>
      <w:r>
        <w:rPr>
          <w:rStyle w:val="Strong"/>
          <w:rFonts w:eastAsiaTheme="majorEastAsia"/>
        </w:rPr>
        <w:t>August 25, 2010</w:t>
      </w:r>
      <w:r>
        <w:t xml:space="preserve"> and </w:t>
      </w:r>
      <w:r>
        <w:rPr>
          <w:rStyle w:val="Strong"/>
          <w:rFonts w:eastAsiaTheme="majorEastAsia"/>
        </w:rPr>
        <w:t>December 21, 2010</w:t>
      </w:r>
      <w:r>
        <w:t xml:space="preserve">, and contemporaneous communications and </w:t>
      </w:r>
      <w:r>
        <w:lastRenderedPageBreak/>
        <w:t>notary entries that are central to contested questions of capacity, undue influence, and the validity of trustee changes.</w:t>
      </w:r>
    </w:p>
    <w:p w14:paraId="2D5D0A6F" w14:textId="77777777" w:rsidR="002C28AA" w:rsidRDefault="002C28AA" w:rsidP="002C28AA">
      <w:pPr>
        <w:pStyle w:val="NormalWeb"/>
      </w:pPr>
      <w:r>
        <w:rPr>
          <w:rStyle w:val="Strong"/>
          <w:rFonts w:eastAsiaTheme="majorEastAsia"/>
        </w:rPr>
        <w:t>From the record:</w:t>
      </w:r>
      <w:r>
        <w:t xml:space="preserve"> “The Brunsting Family Living Trust is an inter vivos trust, not property in custody of the probate court.” </w:t>
      </w:r>
      <w:r>
        <w:rPr>
          <w:rStyle w:val="Strong"/>
          <w:rFonts w:eastAsiaTheme="majorEastAsia"/>
        </w:rPr>
        <w:t>From the record:</w:t>
      </w:r>
      <w:r>
        <w:t xml:space="preserve"> “Bayless states that Anita and Amy did not give Special Master West all the documents she had previously obtained in Galveston.”</w:t>
      </w:r>
    </w:p>
    <w:p w14:paraId="65660463" w14:textId="77777777" w:rsidR="002C28AA" w:rsidRDefault="002C28AA" w:rsidP="002C28AA">
      <w:pPr>
        <w:pStyle w:val="Heading4"/>
      </w:pPr>
      <w:r>
        <w:t>Key documentary themes and evidentiary issues</w:t>
      </w:r>
    </w:p>
    <w:p w14:paraId="15C32F6C" w14:textId="77777777" w:rsidR="002C28AA" w:rsidRDefault="002C28AA" w:rsidP="002C28AA">
      <w:pPr>
        <w:pStyle w:val="NormalWeb"/>
        <w:numPr>
          <w:ilvl w:val="0"/>
          <w:numId w:val="29"/>
        </w:numPr>
      </w:pPr>
      <w:r>
        <w:rPr>
          <w:rStyle w:val="Strong"/>
          <w:rFonts w:eastAsiaTheme="majorEastAsia"/>
        </w:rPr>
        <w:t>Multiple, overlapping trustee instruments:</w:t>
      </w:r>
      <w:r>
        <w:t xml:space="preserve"> The record contains several certificates of trust and appointment instruments (Exhibits 35, 37, 311–323) that purport to change trustee roles and successor designations. These overlapping instruments create </w:t>
      </w:r>
      <w:r>
        <w:rPr>
          <w:rStyle w:val="Strong"/>
          <w:rFonts w:eastAsiaTheme="majorEastAsia"/>
        </w:rPr>
        <w:t>temporal and substantive conflicts</w:t>
      </w:r>
      <w:r>
        <w:t xml:space="preserve"> about who lawfully controlled trust assets at critical times.</w:t>
      </w:r>
    </w:p>
    <w:p w14:paraId="7BFEF375" w14:textId="77777777" w:rsidR="002C28AA" w:rsidRDefault="002C28AA" w:rsidP="002C28AA">
      <w:pPr>
        <w:pStyle w:val="NormalWeb"/>
        <w:numPr>
          <w:ilvl w:val="0"/>
          <w:numId w:val="29"/>
        </w:numPr>
      </w:pPr>
      <w:r>
        <w:rPr>
          <w:rStyle w:val="Strong"/>
          <w:rFonts w:eastAsiaTheme="majorEastAsia"/>
        </w:rPr>
        <w:t>Qualified Beneficiary Designations and POAs:</w:t>
      </w:r>
      <w:r>
        <w:t xml:space="preserve"> The </w:t>
      </w:r>
      <w:r>
        <w:rPr>
          <w:rStyle w:val="Strong"/>
          <w:rFonts w:eastAsiaTheme="majorEastAsia"/>
        </w:rPr>
        <w:t>8/25/10 QBDs and POAs</w:t>
      </w:r>
      <w:r>
        <w:t xml:space="preserve"> are focal documents alleged to have removed Carl and Candace as successor trustees and installed Anita and Amy in their stead; the provenance, execution circumstances, and supporting notary logs (Exhibit 313) are contested.</w:t>
      </w:r>
    </w:p>
    <w:p w14:paraId="7ECEDCAA" w14:textId="77777777" w:rsidR="002C28AA" w:rsidRDefault="002C28AA" w:rsidP="002C28AA">
      <w:pPr>
        <w:pStyle w:val="NormalWeb"/>
        <w:numPr>
          <w:ilvl w:val="0"/>
          <w:numId w:val="29"/>
        </w:numPr>
      </w:pPr>
      <w:r>
        <w:rPr>
          <w:rStyle w:val="Strong"/>
          <w:rFonts w:eastAsiaTheme="majorEastAsia"/>
        </w:rPr>
        <w:t>Capacity and undue influence concerns:</w:t>
      </w:r>
      <w:r>
        <w:t xml:space="preserve"> Multiple exhibits (e.g., Exhibits 34, 320–324) document contemporaneous concerns about settlor capacity and the circumstances under which trustee changes were </w:t>
      </w:r>
      <w:proofErr w:type="gramStart"/>
      <w:r>
        <w:t>effected</w:t>
      </w:r>
      <w:proofErr w:type="gramEnd"/>
      <w:r>
        <w:t>; these records are central to claims that certain instruments were procured by undue influence or executed when the settlor lacked capacity.</w:t>
      </w:r>
    </w:p>
    <w:p w14:paraId="60F46E0D" w14:textId="77777777" w:rsidR="002C28AA" w:rsidRDefault="002C28AA" w:rsidP="002C28AA">
      <w:pPr>
        <w:pStyle w:val="NormalWeb"/>
        <w:numPr>
          <w:ilvl w:val="0"/>
          <w:numId w:val="29"/>
        </w:numPr>
      </w:pPr>
      <w:r>
        <w:rPr>
          <w:rStyle w:val="Strong"/>
          <w:rFonts w:eastAsiaTheme="majorEastAsia"/>
        </w:rPr>
        <w:t>Document production irregularities:</w:t>
      </w:r>
      <w:r>
        <w:t xml:space="preserve"> The documentary record and related correspondence indicate </w:t>
      </w:r>
      <w:r>
        <w:rPr>
          <w:rStyle w:val="Strong"/>
          <w:rFonts w:eastAsiaTheme="majorEastAsia"/>
        </w:rPr>
        <w:t>renumbering of productions, selective disclosure, and missing explanatory materials</w:t>
      </w:r>
      <w:r>
        <w:t>, which the Special Master and opposing counsel identified as obstructive to a full accounting (see Exhibit 44a).</w:t>
      </w:r>
    </w:p>
    <w:p w14:paraId="1C2ED226" w14:textId="77777777" w:rsidR="002C28AA" w:rsidRDefault="002C28AA" w:rsidP="002C28AA">
      <w:pPr>
        <w:pStyle w:val="Heading4"/>
      </w:pPr>
      <w:r>
        <w:t>Evidentiary leverage for claims and defenses</w:t>
      </w:r>
    </w:p>
    <w:p w14:paraId="4B40C516" w14:textId="77777777" w:rsidR="002C28AA" w:rsidRDefault="002C28AA" w:rsidP="002C28AA">
      <w:pPr>
        <w:pStyle w:val="NormalWeb"/>
        <w:numPr>
          <w:ilvl w:val="0"/>
          <w:numId w:val="30"/>
        </w:numPr>
      </w:pPr>
      <w:r>
        <w:rPr>
          <w:rStyle w:val="Strong"/>
          <w:rFonts w:eastAsiaTheme="majorEastAsia"/>
        </w:rPr>
        <w:t>For plaintiffs alleging invalid trustee changes:</w:t>
      </w:r>
      <w:r>
        <w:t xml:space="preserve"> Focus on the </w:t>
      </w:r>
      <w:r>
        <w:rPr>
          <w:rStyle w:val="Strong"/>
          <w:rFonts w:eastAsiaTheme="majorEastAsia"/>
        </w:rPr>
        <w:t>QBDs, POAs, notary logs, and contemporaneous medical or witness records</w:t>
      </w:r>
      <w:r>
        <w:t xml:space="preserve"> that bear on capacity and undue influence; highlight any inconsistencies in execution dates, signatures, or notarial acknowledgments.</w:t>
      </w:r>
    </w:p>
    <w:p w14:paraId="0ED5A933" w14:textId="77777777" w:rsidR="002C28AA" w:rsidRDefault="002C28AA" w:rsidP="002C28AA">
      <w:pPr>
        <w:pStyle w:val="NormalWeb"/>
        <w:numPr>
          <w:ilvl w:val="0"/>
          <w:numId w:val="30"/>
        </w:numPr>
      </w:pPr>
      <w:r>
        <w:rPr>
          <w:rStyle w:val="Strong"/>
          <w:rFonts w:eastAsiaTheme="majorEastAsia"/>
        </w:rPr>
        <w:t>For defendants asserting validity:</w:t>
      </w:r>
      <w:r>
        <w:t xml:space="preserve"> Emphasize chain of custody for certificates of trust, contemporaneous trustee actions consistent with the instruments, and any corroborating bank or transfer records showing routine administration.</w:t>
      </w:r>
    </w:p>
    <w:p w14:paraId="35C8B297" w14:textId="77777777" w:rsidR="002C28AA" w:rsidRDefault="002C28AA" w:rsidP="002C28AA">
      <w:pPr>
        <w:pStyle w:val="NormalWeb"/>
        <w:numPr>
          <w:ilvl w:val="0"/>
          <w:numId w:val="30"/>
        </w:numPr>
      </w:pPr>
      <w:r>
        <w:rPr>
          <w:rStyle w:val="Strong"/>
          <w:rFonts w:eastAsiaTheme="majorEastAsia"/>
        </w:rPr>
        <w:t>On discovery and spoliation:</w:t>
      </w:r>
      <w:r>
        <w:t xml:space="preserve"> Use evidence of renumbered productions, withheld documents, and counsel communications (Exhibit 44a) to support motions to compel, adverse inference instructions, or sanctions where appropriate.</w:t>
      </w:r>
    </w:p>
    <w:p w14:paraId="6F781302" w14:textId="77777777" w:rsidR="002C28AA" w:rsidRDefault="002C28AA" w:rsidP="002C28AA">
      <w:pPr>
        <w:pStyle w:val="Heading3"/>
      </w:pPr>
      <w:r>
        <w:t>Federal Litigation Curtis v. Brunsting and Related Proceedings</w:t>
      </w:r>
    </w:p>
    <w:p w14:paraId="6C7E30DB" w14:textId="77777777" w:rsidR="002C28AA" w:rsidRDefault="002C28AA" w:rsidP="002C28AA">
      <w:pPr>
        <w:pStyle w:val="NormalWeb"/>
      </w:pPr>
      <w:r>
        <w:rPr>
          <w:rStyle w:val="Strong"/>
          <w:rFonts w:eastAsiaTheme="majorEastAsia"/>
        </w:rPr>
        <w:t>Page 22</w:t>
      </w:r>
    </w:p>
    <w:p w14:paraId="40252896" w14:textId="77777777" w:rsidR="002C28AA" w:rsidRDefault="002C28AA" w:rsidP="002C28AA">
      <w:pPr>
        <w:pStyle w:val="Heading4"/>
      </w:pPr>
      <w:r>
        <w:lastRenderedPageBreak/>
        <w:t>Exhibit 41 Curtis v. Brunsting Complaint (S.D. Tex. Case No. 4:12</w:t>
      </w:r>
      <w:r>
        <w:noBreakHyphen/>
        <w:t>cv</w:t>
      </w:r>
      <w:r>
        <w:noBreakHyphen/>
        <w:t>592)</w:t>
      </w:r>
    </w:p>
    <w:p w14:paraId="6C92D30A" w14:textId="77777777" w:rsidR="002C28AA" w:rsidRDefault="002C28AA" w:rsidP="002C28AA">
      <w:pPr>
        <w:pStyle w:val="NormalWeb"/>
        <w:numPr>
          <w:ilvl w:val="0"/>
          <w:numId w:val="31"/>
        </w:numPr>
      </w:pPr>
      <w:r>
        <w:rPr>
          <w:rStyle w:val="Strong"/>
          <w:rFonts w:eastAsiaTheme="majorEastAsia"/>
        </w:rPr>
        <w:t>Plaintiff:</w:t>
      </w:r>
      <w:r>
        <w:t xml:space="preserve"> Candace Louise Curtis (beneficiary).</w:t>
      </w:r>
    </w:p>
    <w:p w14:paraId="57B70A96" w14:textId="77777777" w:rsidR="002C28AA" w:rsidRDefault="002C28AA" w:rsidP="002C28AA">
      <w:pPr>
        <w:pStyle w:val="NormalWeb"/>
        <w:numPr>
          <w:ilvl w:val="0"/>
          <w:numId w:val="31"/>
        </w:numPr>
      </w:pPr>
      <w:r>
        <w:rPr>
          <w:rStyle w:val="Strong"/>
          <w:rFonts w:eastAsiaTheme="majorEastAsia"/>
        </w:rPr>
        <w:t>Defendants:</w:t>
      </w:r>
      <w:r>
        <w:t xml:space="preserve"> Anita Kay Brunsting and Amy Ruth Brunsting (co</w:t>
      </w:r>
      <w:r>
        <w:noBreakHyphen/>
        <w:t>trustees).</w:t>
      </w:r>
    </w:p>
    <w:p w14:paraId="241E0252" w14:textId="77777777" w:rsidR="002C28AA" w:rsidRDefault="002C28AA" w:rsidP="002C28AA">
      <w:pPr>
        <w:pStyle w:val="NormalWeb"/>
        <w:numPr>
          <w:ilvl w:val="0"/>
          <w:numId w:val="31"/>
        </w:numPr>
      </w:pPr>
      <w:r>
        <w:rPr>
          <w:rStyle w:val="Strong"/>
          <w:rFonts w:eastAsiaTheme="majorEastAsia"/>
        </w:rPr>
        <w:t>Claims:</w:t>
      </w:r>
      <w:r>
        <w:t xml:space="preserve"> Breach of fiduciary duty, extrinsic fraud, constructive fraud, intentional infliction of emotional distress, and requests for declaratory and injunctive relief, including an accounting and asset freeze.</w:t>
      </w:r>
    </w:p>
    <w:p w14:paraId="2E4BD7DC" w14:textId="77777777" w:rsidR="002C28AA" w:rsidRDefault="002C28AA" w:rsidP="002C28AA">
      <w:pPr>
        <w:pStyle w:val="NormalWeb"/>
        <w:numPr>
          <w:ilvl w:val="0"/>
          <w:numId w:val="31"/>
        </w:numPr>
      </w:pPr>
      <w:r>
        <w:rPr>
          <w:rStyle w:val="Strong"/>
          <w:rFonts w:eastAsiaTheme="majorEastAsia"/>
        </w:rPr>
        <w:t>Relief sought:</w:t>
      </w:r>
      <w:r>
        <w:t xml:space="preserve"> Compensatory and punitive damages, injunctive relief to preserve trust assets, and attorneys’ fees.</w:t>
      </w:r>
    </w:p>
    <w:p w14:paraId="2EA4E51F" w14:textId="77777777" w:rsidR="002C28AA" w:rsidRDefault="002C28AA" w:rsidP="002C28AA">
      <w:pPr>
        <w:pStyle w:val="NormalWeb"/>
      </w:pPr>
      <w:r>
        <w:rPr>
          <w:rStyle w:val="Strong"/>
          <w:rFonts w:eastAsiaTheme="majorEastAsia"/>
        </w:rPr>
        <w:t>Procedural posture:</w:t>
      </w:r>
      <w:r>
        <w:t xml:space="preserve"> The complaint invoked federal diversity jurisdiction under </w:t>
      </w:r>
      <w:r>
        <w:rPr>
          <w:rStyle w:val="Strong"/>
          <w:rFonts w:eastAsiaTheme="majorEastAsia"/>
        </w:rPr>
        <w:t>28 U.S.C. § 1332</w:t>
      </w:r>
      <w:r>
        <w:t xml:space="preserve"> and sought to adjudicate trust</w:t>
      </w:r>
      <w:r>
        <w:noBreakHyphen/>
        <w:t>administration disputes in federal court.</w:t>
      </w:r>
    </w:p>
    <w:p w14:paraId="06F693B5" w14:textId="77777777" w:rsidR="002C28AA" w:rsidRDefault="002C28AA" w:rsidP="002C28AA">
      <w:pPr>
        <w:pStyle w:val="Heading4"/>
      </w:pPr>
      <w:r>
        <w:t>Exhibits 42–43 Amy Affidavit and Emergency Motion</w:t>
      </w:r>
    </w:p>
    <w:p w14:paraId="3C8D3822" w14:textId="77777777" w:rsidR="002C28AA" w:rsidRDefault="002C28AA" w:rsidP="002C28AA">
      <w:pPr>
        <w:pStyle w:val="NormalWeb"/>
        <w:numPr>
          <w:ilvl w:val="0"/>
          <w:numId w:val="32"/>
        </w:numPr>
      </w:pPr>
      <w:r>
        <w:rPr>
          <w:rStyle w:val="Strong"/>
          <w:rFonts w:eastAsiaTheme="majorEastAsia"/>
        </w:rPr>
        <w:t>Affidavit (Exhibit 42):</w:t>
      </w:r>
      <w:r>
        <w:t xml:space="preserve"> Amy’s affidavit framed Candace as obstructive and urged removal of a </w:t>
      </w:r>
      <w:proofErr w:type="spellStart"/>
      <w:r>
        <w:t>lis</w:t>
      </w:r>
      <w:proofErr w:type="spellEnd"/>
      <w:r>
        <w:t xml:space="preserve"> pendens to permit a March 2012 sale of the Houston residence; it characterized the trustees’ disclosures as adequate and Candace’s objections as meritless.</w:t>
      </w:r>
    </w:p>
    <w:p w14:paraId="10AF3EBB" w14:textId="77777777" w:rsidR="002C28AA" w:rsidRDefault="002C28AA" w:rsidP="002C28AA">
      <w:pPr>
        <w:pStyle w:val="NormalWeb"/>
        <w:numPr>
          <w:ilvl w:val="0"/>
          <w:numId w:val="32"/>
        </w:numPr>
      </w:pPr>
      <w:r>
        <w:rPr>
          <w:rStyle w:val="Strong"/>
          <w:rFonts w:eastAsiaTheme="majorEastAsia"/>
        </w:rPr>
        <w:t>Emergency Motion (Exhibit 43):</w:t>
      </w:r>
      <w:r>
        <w:t xml:space="preserve"> Defendants moved to remove the </w:t>
      </w:r>
      <w:proofErr w:type="spellStart"/>
      <w:r>
        <w:t>lis</w:t>
      </w:r>
      <w:proofErr w:type="spellEnd"/>
      <w:r>
        <w:t xml:space="preserve"> pendens and argued the federal court lacked jurisdiction under the probate exception and Texas Probate Code § 115.001(7).</w:t>
      </w:r>
    </w:p>
    <w:p w14:paraId="2E063F43" w14:textId="77777777" w:rsidR="002C28AA" w:rsidRDefault="002C28AA" w:rsidP="002C28AA">
      <w:pPr>
        <w:pStyle w:val="NormalWeb"/>
      </w:pPr>
      <w:r>
        <w:rPr>
          <w:rStyle w:val="Strong"/>
          <w:rFonts w:eastAsiaTheme="majorEastAsia"/>
        </w:rPr>
        <w:t>Immediate effect:</w:t>
      </w:r>
      <w:r>
        <w:t xml:space="preserve"> The district court initially dismissed the case sua sponte (March 8, 2012), a dismissal later reversed by the Fifth Circuit.</w:t>
      </w:r>
    </w:p>
    <w:p w14:paraId="40B5B113" w14:textId="77777777" w:rsidR="002C28AA" w:rsidRDefault="002C28AA" w:rsidP="002C28AA">
      <w:pPr>
        <w:pStyle w:val="Heading4"/>
      </w:pPr>
      <w:r>
        <w:t>Exhibit 44 Fifth Circuit Opinion (704 F.3d 406)</w:t>
      </w:r>
    </w:p>
    <w:p w14:paraId="15570789" w14:textId="77777777" w:rsidR="002C28AA" w:rsidRDefault="002C28AA" w:rsidP="002C28AA">
      <w:pPr>
        <w:pStyle w:val="NormalWeb"/>
        <w:numPr>
          <w:ilvl w:val="0"/>
          <w:numId w:val="33"/>
        </w:numPr>
      </w:pPr>
      <w:r>
        <w:rPr>
          <w:rStyle w:val="Strong"/>
          <w:rFonts w:eastAsiaTheme="majorEastAsia"/>
        </w:rPr>
        <w:t>Holding:</w:t>
      </w:r>
      <w:r>
        <w:t xml:space="preserve"> The Fifth Circuit reversed the district court’s sua sponte dismissal, holding that the </w:t>
      </w:r>
      <w:r>
        <w:rPr>
          <w:rStyle w:val="Strong"/>
          <w:rFonts w:eastAsiaTheme="majorEastAsia"/>
        </w:rPr>
        <w:t>probate exception did not bar</w:t>
      </w:r>
      <w:r>
        <w:t xml:space="preserve"> Candace’s claims because the Brunsting Family Living Trust is an </w:t>
      </w:r>
      <w:r>
        <w:rPr>
          <w:rStyle w:val="Strong"/>
          <w:rFonts w:eastAsiaTheme="majorEastAsia"/>
        </w:rPr>
        <w:t>inter vivos trust</w:t>
      </w:r>
      <w:r>
        <w:t xml:space="preserve"> and its assets were not in the custody of the probate court. The opinion authorized federal adjudication of breach</w:t>
      </w:r>
      <w:r>
        <w:noBreakHyphen/>
        <w:t>of</w:t>
      </w:r>
      <w:r>
        <w:noBreakHyphen/>
        <w:t>fiduciary, fraud, and accounting claims against trustees.</w:t>
      </w:r>
    </w:p>
    <w:p w14:paraId="46C8E03F" w14:textId="77777777" w:rsidR="002C28AA" w:rsidRDefault="002C28AA" w:rsidP="002C28AA">
      <w:pPr>
        <w:pStyle w:val="NormalWeb"/>
        <w:numPr>
          <w:ilvl w:val="0"/>
          <w:numId w:val="33"/>
        </w:numPr>
      </w:pPr>
      <w:r>
        <w:rPr>
          <w:rStyle w:val="Strong"/>
          <w:rFonts w:eastAsiaTheme="majorEastAsia"/>
        </w:rPr>
        <w:t>Legal significance:</w:t>
      </w:r>
      <w:r>
        <w:t xml:space="preserve"> The decision is a controlling appellate ruling that </w:t>
      </w:r>
      <w:r>
        <w:rPr>
          <w:rStyle w:val="Strong"/>
          <w:rFonts w:eastAsiaTheme="majorEastAsia"/>
        </w:rPr>
        <w:t>limits the probate exception</w:t>
      </w:r>
      <w:r>
        <w:t xml:space="preserve"> in trust</w:t>
      </w:r>
      <w:r>
        <w:noBreakHyphen/>
        <w:t>abuse cases and permitted the federal court to proceed with injunctive relief, appointment of a Special Master, and forensic accounting.</w:t>
      </w:r>
    </w:p>
    <w:p w14:paraId="234FA3AF" w14:textId="77777777" w:rsidR="002C28AA" w:rsidRDefault="002C28AA" w:rsidP="002C28AA">
      <w:pPr>
        <w:pStyle w:val="Heading4"/>
      </w:pPr>
      <w:r>
        <w:t>Post</w:t>
      </w:r>
      <w:r>
        <w:noBreakHyphen/>
        <w:t>remand developments and remedies</w:t>
      </w:r>
    </w:p>
    <w:p w14:paraId="41473F66" w14:textId="77777777" w:rsidR="002C28AA" w:rsidRDefault="002C28AA" w:rsidP="002C28AA">
      <w:pPr>
        <w:pStyle w:val="NormalWeb"/>
        <w:numPr>
          <w:ilvl w:val="0"/>
          <w:numId w:val="34"/>
        </w:numPr>
      </w:pPr>
      <w:r>
        <w:rPr>
          <w:rStyle w:val="Strong"/>
          <w:rFonts w:eastAsiaTheme="majorEastAsia"/>
        </w:rPr>
        <w:t>Injunction and asset freeze:</w:t>
      </w:r>
      <w:r>
        <w:t xml:space="preserve"> Following the Fifth Circuit reversal, the district court issued injunctive relief and appointed Special Master William West to oversee forensic accounting and document production.</w:t>
      </w:r>
    </w:p>
    <w:p w14:paraId="65580930" w14:textId="77777777" w:rsidR="002C28AA" w:rsidRDefault="002C28AA" w:rsidP="002C28AA">
      <w:pPr>
        <w:pStyle w:val="NormalWeb"/>
        <w:numPr>
          <w:ilvl w:val="0"/>
          <w:numId w:val="34"/>
        </w:numPr>
      </w:pPr>
      <w:r>
        <w:rPr>
          <w:rStyle w:val="Strong"/>
          <w:rFonts w:eastAsiaTheme="majorEastAsia"/>
        </w:rPr>
        <w:lastRenderedPageBreak/>
        <w:t>Forensic accounting findings:</w:t>
      </w:r>
      <w:r>
        <w:t xml:space="preserve"> The Special Master’s work and subsequent forensic accounting revealed </w:t>
      </w:r>
      <w:r>
        <w:rPr>
          <w:rStyle w:val="Strong"/>
          <w:rFonts w:eastAsiaTheme="majorEastAsia"/>
        </w:rPr>
        <w:t>documentary irregularities, unexplained transfers, and gaps in trustee accounting</w:t>
      </w:r>
      <w:r>
        <w:t>, which supported further equitable relief and claims for restitution.</w:t>
      </w:r>
    </w:p>
    <w:p w14:paraId="7D656E2B" w14:textId="77777777" w:rsidR="002C28AA" w:rsidRDefault="002C28AA" w:rsidP="002C28AA">
      <w:pPr>
        <w:pStyle w:val="NormalWeb"/>
        <w:numPr>
          <w:ilvl w:val="0"/>
          <w:numId w:val="34"/>
        </w:numPr>
      </w:pPr>
      <w:r>
        <w:rPr>
          <w:rStyle w:val="Strong"/>
          <w:rFonts w:eastAsiaTheme="majorEastAsia"/>
        </w:rPr>
        <w:t>Strategic consequence:</w:t>
      </w:r>
      <w:r>
        <w:t xml:space="preserve"> The federal forum enabled discovery and remedies (asset freezes, forensic accounting, appointment of neutral experts) that would have been difficult or unavailable in a closed probate docket.</w:t>
      </w:r>
    </w:p>
    <w:p w14:paraId="374071DD" w14:textId="77777777" w:rsidR="002C28AA" w:rsidRDefault="002C28AA" w:rsidP="002C28AA">
      <w:pPr>
        <w:pStyle w:val="Heading3"/>
      </w:pPr>
      <w:r>
        <w:t>Bayless Email Chain and Internal Counsel Communications</w:t>
      </w:r>
    </w:p>
    <w:p w14:paraId="3E5D0A12" w14:textId="77777777" w:rsidR="002C28AA" w:rsidRDefault="002C28AA" w:rsidP="002C28AA">
      <w:pPr>
        <w:pStyle w:val="NormalWeb"/>
      </w:pPr>
      <w:r>
        <w:rPr>
          <w:rStyle w:val="Strong"/>
          <w:rFonts w:eastAsiaTheme="majorEastAsia"/>
        </w:rPr>
        <w:t>Page 33</w:t>
      </w:r>
    </w:p>
    <w:p w14:paraId="125825C4" w14:textId="77777777" w:rsidR="002C28AA" w:rsidRDefault="002C28AA" w:rsidP="002C28AA">
      <w:pPr>
        <w:pStyle w:val="Heading4"/>
      </w:pPr>
      <w:r>
        <w:t>Exhibit 44a Bayless Email Chain (Aug. 18, 2013)</w:t>
      </w:r>
    </w:p>
    <w:p w14:paraId="5AAD7FC8" w14:textId="77777777" w:rsidR="002C28AA" w:rsidRDefault="002C28AA" w:rsidP="002C28AA">
      <w:pPr>
        <w:pStyle w:val="NormalWeb"/>
        <w:numPr>
          <w:ilvl w:val="0"/>
          <w:numId w:val="35"/>
        </w:numPr>
      </w:pPr>
      <w:r>
        <w:rPr>
          <w:rStyle w:val="Strong"/>
          <w:rFonts w:eastAsiaTheme="majorEastAsia"/>
        </w:rPr>
        <w:t>Core revelations:</w:t>
      </w:r>
      <w:r>
        <w:t xml:space="preserve"> Internal counsel for Carl (Bobbie Bayless) reported that Anita and Amy </w:t>
      </w:r>
      <w:r>
        <w:rPr>
          <w:rStyle w:val="Strong"/>
          <w:rFonts w:eastAsiaTheme="majorEastAsia"/>
        </w:rPr>
        <w:t>withheld documents from the Special Master</w:t>
      </w:r>
      <w:r>
        <w:t>, renumbered productions to obscure missing materials, and terminated counsel who pressed for voluntary disclosure. Bayless described produced receipts as inadequate and flagged suspicious billing entries indicating post</w:t>
      </w:r>
      <w:r>
        <w:noBreakHyphen/>
        <w:t>hoc revisions.</w:t>
      </w:r>
    </w:p>
    <w:p w14:paraId="4D0C029B" w14:textId="77777777" w:rsidR="002C28AA" w:rsidRDefault="002C28AA" w:rsidP="002C28AA">
      <w:pPr>
        <w:pStyle w:val="NormalWeb"/>
        <w:numPr>
          <w:ilvl w:val="0"/>
          <w:numId w:val="35"/>
        </w:numPr>
      </w:pPr>
      <w:r>
        <w:rPr>
          <w:rStyle w:val="Strong"/>
          <w:rFonts w:eastAsiaTheme="majorEastAsia"/>
        </w:rPr>
        <w:t>Evidentiary value:</w:t>
      </w:r>
      <w:r>
        <w:t xml:space="preserve"> These communications are direct evidence of </w:t>
      </w:r>
      <w:r>
        <w:rPr>
          <w:rStyle w:val="Strong"/>
          <w:rFonts w:eastAsiaTheme="majorEastAsia"/>
        </w:rPr>
        <w:t>selective disclosure, potential spoliation, and strategic obstruction</w:t>
      </w:r>
      <w:r>
        <w:t>, and they corroborate allegations that defendants resisted full accounting and transparency.</w:t>
      </w:r>
    </w:p>
    <w:p w14:paraId="60CCE42D" w14:textId="77777777" w:rsidR="002C28AA" w:rsidRDefault="002C28AA" w:rsidP="002C28AA">
      <w:pPr>
        <w:pStyle w:val="NormalWeb"/>
      </w:pPr>
      <w:r>
        <w:rPr>
          <w:rStyle w:val="Strong"/>
          <w:rFonts w:eastAsiaTheme="majorEastAsia"/>
        </w:rPr>
        <w:t>From the record:</w:t>
      </w:r>
      <w:r>
        <w:t xml:space="preserve"> “They reproduced documents with a new numbering system, making it difficult to compare what was new or missing.”</w:t>
      </w:r>
    </w:p>
    <w:p w14:paraId="2F5A7375" w14:textId="77777777" w:rsidR="002C28AA" w:rsidRDefault="002C28AA" w:rsidP="002C28AA">
      <w:pPr>
        <w:pStyle w:val="Heading4"/>
      </w:pPr>
      <w:r>
        <w:t>Tactical uses of the Bayless chain</w:t>
      </w:r>
    </w:p>
    <w:p w14:paraId="3C0C1291" w14:textId="77777777" w:rsidR="002C28AA" w:rsidRDefault="002C28AA" w:rsidP="002C28AA">
      <w:pPr>
        <w:pStyle w:val="NormalWeb"/>
        <w:numPr>
          <w:ilvl w:val="0"/>
          <w:numId w:val="36"/>
        </w:numPr>
      </w:pPr>
      <w:r>
        <w:rPr>
          <w:rStyle w:val="Strong"/>
          <w:rFonts w:eastAsiaTheme="majorEastAsia"/>
        </w:rPr>
        <w:t>Motions to compel and sanctions:</w:t>
      </w:r>
      <w:r>
        <w:t xml:space="preserve"> Use Bayless’s contemporaneous observations to support motions for sanctions, adverse inferences, or evidentiary rulings that penalize concealment.</w:t>
      </w:r>
    </w:p>
    <w:p w14:paraId="36310DF5" w14:textId="77777777" w:rsidR="002C28AA" w:rsidRDefault="002C28AA" w:rsidP="002C28AA">
      <w:pPr>
        <w:pStyle w:val="NormalWeb"/>
        <w:numPr>
          <w:ilvl w:val="0"/>
          <w:numId w:val="36"/>
        </w:numPr>
      </w:pPr>
      <w:r>
        <w:rPr>
          <w:rStyle w:val="Strong"/>
          <w:rFonts w:eastAsiaTheme="majorEastAsia"/>
        </w:rPr>
        <w:t>Impeachment of trustee testimony:</w:t>
      </w:r>
      <w:r>
        <w:t xml:space="preserve"> Introduce the email chain to impeach trustee or counsel testimony that claims full cooperation or complete production.</w:t>
      </w:r>
    </w:p>
    <w:p w14:paraId="12F13C36" w14:textId="77777777" w:rsidR="002C28AA" w:rsidRDefault="002C28AA" w:rsidP="002C28AA">
      <w:pPr>
        <w:pStyle w:val="NormalWeb"/>
        <w:numPr>
          <w:ilvl w:val="0"/>
          <w:numId w:val="36"/>
        </w:numPr>
      </w:pPr>
      <w:r>
        <w:rPr>
          <w:rStyle w:val="Strong"/>
          <w:rFonts w:eastAsiaTheme="majorEastAsia"/>
        </w:rPr>
        <w:t>Support for equitable remedies:</w:t>
      </w:r>
      <w:r>
        <w:t xml:space="preserve"> Demonstrate the need for continued forensic oversight, appointment of a receiver, or other equitable measures to preserve trust assets.</w:t>
      </w:r>
    </w:p>
    <w:p w14:paraId="4B9F8CAD" w14:textId="77777777" w:rsidR="002C28AA" w:rsidRDefault="002C28AA" w:rsidP="002C28AA">
      <w:pPr>
        <w:pStyle w:val="Heading3"/>
      </w:pPr>
      <w:r>
        <w:t>Malpractice Litigation and Carl’s April 9, 2013 Petition</w:t>
      </w:r>
    </w:p>
    <w:p w14:paraId="42E4B75E" w14:textId="77777777" w:rsidR="002C28AA" w:rsidRDefault="002C28AA" w:rsidP="002C28AA">
      <w:pPr>
        <w:pStyle w:val="NormalWeb"/>
      </w:pPr>
      <w:r>
        <w:rPr>
          <w:rStyle w:val="Strong"/>
          <w:rFonts w:eastAsiaTheme="majorEastAsia"/>
        </w:rPr>
        <w:t>Page 38</w:t>
      </w:r>
    </w:p>
    <w:p w14:paraId="5B5B67EA" w14:textId="77777777" w:rsidR="002C28AA" w:rsidRDefault="002C28AA" w:rsidP="002C28AA">
      <w:pPr>
        <w:pStyle w:val="Heading4"/>
      </w:pPr>
      <w:r>
        <w:lastRenderedPageBreak/>
        <w:t>Exhibit 44b Malpractice Complaint (Harris County District Court)</w:t>
      </w:r>
    </w:p>
    <w:p w14:paraId="5CAE62E2" w14:textId="77777777" w:rsidR="002C28AA" w:rsidRDefault="002C28AA" w:rsidP="002C28AA">
      <w:pPr>
        <w:pStyle w:val="NormalWeb"/>
        <w:numPr>
          <w:ilvl w:val="0"/>
          <w:numId w:val="37"/>
        </w:numPr>
      </w:pPr>
      <w:r>
        <w:rPr>
          <w:rStyle w:val="Strong"/>
          <w:rFonts w:eastAsiaTheme="majorEastAsia"/>
        </w:rPr>
        <w:t>Plaintiff:</w:t>
      </w:r>
      <w:r>
        <w:t xml:space="preserve"> Carl Henry Brunsting.</w:t>
      </w:r>
    </w:p>
    <w:p w14:paraId="29146101" w14:textId="77777777" w:rsidR="002C28AA" w:rsidRDefault="002C28AA" w:rsidP="002C28AA">
      <w:pPr>
        <w:pStyle w:val="NormalWeb"/>
        <w:numPr>
          <w:ilvl w:val="0"/>
          <w:numId w:val="37"/>
        </w:numPr>
      </w:pPr>
      <w:r>
        <w:rPr>
          <w:rStyle w:val="Strong"/>
          <w:rFonts w:eastAsiaTheme="majorEastAsia"/>
        </w:rPr>
        <w:t>Defendants:</w:t>
      </w:r>
      <w:r>
        <w:t xml:space="preserve"> </w:t>
      </w:r>
      <w:proofErr w:type="spellStart"/>
      <w:r>
        <w:t>KunzFreed</w:t>
      </w:r>
      <w:proofErr w:type="spellEnd"/>
      <w:r>
        <w:t xml:space="preserve"> and Vacek &amp; Freed PLLC (counsel alleged to have facilitated QBD and POA).</w:t>
      </w:r>
    </w:p>
    <w:p w14:paraId="0DDA223B" w14:textId="77777777" w:rsidR="002C28AA" w:rsidRDefault="002C28AA" w:rsidP="002C28AA">
      <w:pPr>
        <w:pStyle w:val="NormalWeb"/>
        <w:numPr>
          <w:ilvl w:val="0"/>
          <w:numId w:val="37"/>
        </w:numPr>
      </w:pPr>
      <w:r>
        <w:rPr>
          <w:rStyle w:val="Strong"/>
          <w:rFonts w:eastAsiaTheme="majorEastAsia"/>
        </w:rPr>
        <w:t>Claims:</w:t>
      </w:r>
      <w:r>
        <w:t xml:space="preserve"> Negligence, negligent misrepresentation, breach of fiduciary duty, aiding and abetting, fraud, conspiracy, and DTPA violations.</w:t>
      </w:r>
    </w:p>
    <w:p w14:paraId="045FF420" w14:textId="77777777" w:rsidR="002C28AA" w:rsidRDefault="002C28AA" w:rsidP="002C28AA">
      <w:pPr>
        <w:pStyle w:val="NormalWeb"/>
        <w:numPr>
          <w:ilvl w:val="0"/>
          <w:numId w:val="37"/>
        </w:numPr>
      </w:pPr>
      <w:r>
        <w:rPr>
          <w:rStyle w:val="Strong"/>
          <w:rFonts w:eastAsiaTheme="majorEastAsia"/>
        </w:rPr>
        <w:t>Theory:</w:t>
      </w:r>
      <w:r>
        <w:t xml:space="preserve"> The law firm allegedly enabled the 8/25/10 QBD and POA, ignored settlor incapacity, and assisted in removing assets and altering trustee designations to the detriment of Carl and other beneficiaries.</w:t>
      </w:r>
    </w:p>
    <w:p w14:paraId="70251610" w14:textId="77777777" w:rsidR="002C28AA" w:rsidRDefault="002C28AA" w:rsidP="002C28AA">
      <w:pPr>
        <w:pStyle w:val="NormalWeb"/>
      </w:pPr>
      <w:r>
        <w:rPr>
          <w:rStyle w:val="Strong"/>
          <w:rFonts w:eastAsiaTheme="majorEastAsia"/>
        </w:rPr>
        <w:t>Significance:</w:t>
      </w:r>
      <w:r>
        <w:t xml:space="preserve"> The malpractice action seeks to hold legal counsel accountable for professional conduct that allegedly facilitated the trust</w:t>
      </w:r>
      <w:r>
        <w:noBreakHyphen/>
        <w:t>administration irregularities.</w:t>
      </w:r>
    </w:p>
    <w:p w14:paraId="59CC449E" w14:textId="77777777" w:rsidR="002C28AA" w:rsidRDefault="002C28AA" w:rsidP="002C28AA">
      <w:pPr>
        <w:pStyle w:val="Heading4"/>
      </w:pPr>
      <w:r>
        <w:t>Exhibit 44c Carl’s April 9, 2013 Petition (Probate Court No. 4 Cause No. 412,249401)</w:t>
      </w:r>
    </w:p>
    <w:p w14:paraId="0C715551" w14:textId="77777777" w:rsidR="002C28AA" w:rsidRDefault="002C28AA" w:rsidP="002C28AA">
      <w:pPr>
        <w:pStyle w:val="NormalWeb"/>
        <w:numPr>
          <w:ilvl w:val="0"/>
          <w:numId w:val="38"/>
        </w:numPr>
      </w:pPr>
      <w:r>
        <w:rPr>
          <w:rStyle w:val="Strong"/>
          <w:rFonts w:eastAsiaTheme="majorEastAsia"/>
        </w:rPr>
        <w:t>Parties and posture:</w:t>
      </w:r>
      <w:r>
        <w:t xml:space="preserve"> Carl filed suit individually and as Independent Executor and beneficiary, naming Anita, Amy, Carole, and others, seeking declaratory relief, accounting, damages, and injunctive relief under the Texas Declaratory Judgments Act and Trust Code provisions.</w:t>
      </w:r>
    </w:p>
    <w:p w14:paraId="72E2B7D3" w14:textId="77777777" w:rsidR="002C28AA" w:rsidRDefault="002C28AA" w:rsidP="002C28AA">
      <w:pPr>
        <w:pStyle w:val="NormalWeb"/>
        <w:numPr>
          <w:ilvl w:val="0"/>
          <w:numId w:val="38"/>
        </w:numPr>
      </w:pPr>
      <w:r>
        <w:rPr>
          <w:rStyle w:val="Strong"/>
          <w:rFonts w:eastAsiaTheme="majorEastAsia"/>
        </w:rPr>
        <w:t>Core allegations:</w:t>
      </w:r>
      <w:r>
        <w:t xml:space="preserve"> The petition alleges that the </w:t>
      </w:r>
      <w:r>
        <w:rPr>
          <w:rStyle w:val="Strong"/>
          <w:rFonts w:eastAsiaTheme="majorEastAsia"/>
        </w:rPr>
        <w:t>8/25/10 QBDs and related instruments were procured by undue influence</w:t>
      </w:r>
      <w:r>
        <w:t>, executed when Nelva lacked capacity, and used to centralize control of trust assets in Anita and Amy; it seeks construction of trust instruments and remedies for alleged misappropriation.</w:t>
      </w:r>
    </w:p>
    <w:p w14:paraId="7EB30AB7" w14:textId="77777777" w:rsidR="002C28AA" w:rsidRDefault="002C28AA" w:rsidP="002C28AA">
      <w:pPr>
        <w:pStyle w:val="NormalWeb"/>
      </w:pPr>
      <w:r>
        <w:rPr>
          <w:rStyle w:val="Strong"/>
          <w:rFonts w:eastAsiaTheme="majorEastAsia"/>
        </w:rPr>
        <w:t>Procedural note:</w:t>
      </w:r>
      <w:r>
        <w:t xml:space="preserve"> Carl’s probate</w:t>
      </w:r>
      <w:r>
        <w:noBreakHyphen/>
        <w:t>court filings were filed after the estates’ inventories were approved and the drop orders entered; the probate</w:t>
      </w:r>
      <w:r>
        <w:noBreakHyphen/>
        <w:t>court jurisdictional posture is therefore contested and central to subsequent jurisdictional disputes.</w:t>
      </w:r>
    </w:p>
    <w:p w14:paraId="35AF126E" w14:textId="77777777" w:rsidR="002C28AA" w:rsidRDefault="002C28AA" w:rsidP="002C28AA">
      <w:pPr>
        <w:pStyle w:val="Heading3"/>
      </w:pPr>
      <w:r>
        <w:t>Integrated Legal Conclusions and Recommended Litigation Posture</w:t>
      </w:r>
    </w:p>
    <w:p w14:paraId="1862DADC" w14:textId="77777777" w:rsidR="002C28AA" w:rsidRDefault="002C28AA" w:rsidP="002C28AA">
      <w:pPr>
        <w:pStyle w:val="NormalWeb"/>
      </w:pPr>
      <w:r>
        <w:rPr>
          <w:rStyle w:val="Strong"/>
          <w:rFonts w:eastAsiaTheme="majorEastAsia"/>
        </w:rPr>
        <w:t>Page 45</w:t>
      </w:r>
    </w:p>
    <w:p w14:paraId="2372D5AF" w14:textId="77777777" w:rsidR="002C28AA" w:rsidRDefault="002C28AA" w:rsidP="002C28AA">
      <w:pPr>
        <w:pStyle w:val="Heading4"/>
      </w:pPr>
      <w:r>
        <w:t>Jurisdictional conclusions</w:t>
      </w:r>
    </w:p>
    <w:p w14:paraId="077C510D" w14:textId="77777777" w:rsidR="002C28AA" w:rsidRDefault="002C28AA" w:rsidP="002C28AA">
      <w:pPr>
        <w:pStyle w:val="NormalWeb"/>
        <w:numPr>
          <w:ilvl w:val="0"/>
          <w:numId w:val="39"/>
        </w:numPr>
      </w:pPr>
      <w:r>
        <w:rPr>
          <w:rStyle w:val="Strong"/>
          <w:rFonts w:eastAsiaTheme="majorEastAsia"/>
        </w:rPr>
        <w:t>Probate termination:</w:t>
      </w:r>
      <w:r>
        <w:t xml:space="preserve"> The inventories for both Elmer and Nelva were approved in late March/early April 2013 and the estates were dropped from the active docket on April 4, 2013; under Texas law the probate court’s active jurisdiction terminated at that point absent a statutory exception.</w:t>
      </w:r>
    </w:p>
    <w:p w14:paraId="473E1539" w14:textId="77777777" w:rsidR="002C28AA" w:rsidRDefault="002C28AA" w:rsidP="002C28AA">
      <w:pPr>
        <w:pStyle w:val="NormalWeb"/>
        <w:numPr>
          <w:ilvl w:val="0"/>
          <w:numId w:val="39"/>
        </w:numPr>
      </w:pPr>
      <w:r>
        <w:rPr>
          <w:rStyle w:val="Strong"/>
          <w:rFonts w:eastAsiaTheme="majorEastAsia"/>
        </w:rPr>
        <w:t>Voidness of later probate filings:</w:t>
      </w:r>
      <w:r>
        <w:t xml:space="preserve"> Filings under ancillary cause numbers that post</w:t>
      </w:r>
      <w:r>
        <w:noBreakHyphen/>
        <w:t>date the drop orders and inventory approvals lack subject</w:t>
      </w:r>
      <w:r>
        <w:noBreakHyphen/>
        <w:t>matter jurisdiction and are void ab initio unless a specific statutory exception applies.</w:t>
      </w:r>
    </w:p>
    <w:p w14:paraId="33C0F9B5" w14:textId="77777777" w:rsidR="002C28AA" w:rsidRDefault="002C28AA" w:rsidP="002C28AA">
      <w:pPr>
        <w:pStyle w:val="NormalWeb"/>
        <w:numPr>
          <w:ilvl w:val="0"/>
          <w:numId w:val="39"/>
        </w:numPr>
      </w:pPr>
      <w:r>
        <w:rPr>
          <w:rStyle w:val="Strong"/>
          <w:rFonts w:eastAsiaTheme="majorEastAsia"/>
        </w:rPr>
        <w:lastRenderedPageBreak/>
        <w:t>Federal forum validity:</w:t>
      </w:r>
      <w:r>
        <w:t xml:space="preserve"> </w:t>
      </w:r>
      <w:r>
        <w:rPr>
          <w:rStyle w:val="Emphasis"/>
          <w:rFonts w:eastAsiaTheme="majorEastAsia"/>
        </w:rPr>
        <w:t>Curtis v. Brunsting</w:t>
      </w:r>
      <w:r>
        <w:t xml:space="preserve"> (5th Cir. 2013) authoritatively holds that federal courts may adjudicate claims against trustees of an inter vivos trust; federal adjudication of breach</w:t>
      </w:r>
      <w:r>
        <w:noBreakHyphen/>
        <w:t>of</w:t>
      </w:r>
      <w:r>
        <w:noBreakHyphen/>
        <w:t>fiduciary and fraud claims was therefore proper and necessary to obtain forensic remedies.</w:t>
      </w:r>
    </w:p>
    <w:p w14:paraId="0D3871F8" w14:textId="77777777" w:rsidR="002C28AA" w:rsidRDefault="002C28AA" w:rsidP="002C28AA">
      <w:pPr>
        <w:pStyle w:val="Heading4"/>
      </w:pPr>
      <w:r>
        <w:t>Substantive conclusions on the merits</w:t>
      </w:r>
    </w:p>
    <w:p w14:paraId="4978E912" w14:textId="77777777" w:rsidR="002C28AA" w:rsidRDefault="002C28AA" w:rsidP="002C28AA">
      <w:pPr>
        <w:pStyle w:val="NormalWeb"/>
        <w:numPr>
          <w:ilvl w:val="0"/>
          <w:numId w:val="40"/>
        </w:numPr>
      </w:pPr>
      <w:r>
        <w:rPr>
          <w:rStyle w:val="Strong"/>
          <w:rFonts w:eastAsiaTheme="majorEastAsia"/>
        </w:rPr>
        <w:t>Documentary irregularities support claims:</w:t>
      </w:r>
      <w:r>
        <w:t xml:space="preserve"> The record of renumbered productions, withheld documents, inadequate receipts, and suspicious post</w:t>
      </w:r>
      <w:r>
        <w:noBreakHyphen/>
        <w:t xml:space="preserve">execution revisions </w:t>
      </w:r>
      <w:proofErr w:type="gramStart"/>
      <w:r>
        <w:t>provides</w:t>
      </w:r>
      <w:proofErr w:type="gramEnd"/>
      <w:r>
        <w:t xml:space="preserve"> substantial support for claims of </w:t>
      </w:r>
      <w:r>
        <w:rPr>
          <w:rStyle w:val="Strong"/>
          <w:rFonts w:eastAsiaTheme="majorEastAsia"/>
        </w:rPr>
        <w:t>concealment, breach of fiduciary duty, and constructive/extrinsic fraud</w:t>
      </w:r>
      <w:r>
        <w:t>.</w:t>
      </w:r>
    </w:p>
    <w:p w14:paraId="3E92374C" w14:textId="77777777" w:rsidR="002C28AA" w:rsidRDefault="002C28AA" w:rsidP="002C28AA">
      <w:pPr>
        <w:pStyle w:val="NormalWeb"/>
        <w:numPr>
          <w:ilvl w:val="0"/>
          <w:numId w:val="40"/>
        </w:numPr>
      </w:pPr>
      <w:r>
        <w:rPr>
          <w:rStyle w:val="Strong"/>
          <w:rFonts w:eastAsiaTheme="majorEastAsia"/>
        </w:rPr>
        <w:t>Capacity and undue influence are triable issues:</w:t>
      </w:r>
      <w:r>
        <w:t xml:space="preserve"> The timing and circumstances of the </w:t>
      </w:r>
      <w:r>
        <w:rPr>
          <w:rStyle w:val="Strong"/>
          <w:rFonts w:eastAsiaTheme="majorEastAsia"/>
        </w:rPr>
        <w:t>8/25/10 QBDs and December 2010 instruments</w:t>
      </w:r>
      <w:r>
        <w:t>, together with contemporaneous medical and witness records, create genuine disputes of material fact about settlor capacity and undue influence.</w:t>
      </w:r>
    </w:p>
    <w:p w14:paraId="0A603DB2" w14:textId="77777777" w:rsidR="002C28AA" w:rsidRDefault="002C28AA" w:rsidP="002C28AA">
      <w:pPr>
        <w:pStyle w:val="NormalWeb"/>
        <w:numPr>
          <w:ilvl w:val="0"/>
          <w:numId w:val="40"/>
        </w:numPr>
      </w:pPr>
      <w:r>
        <w:rPr>
          <w:rStyle w:val="Strong"/>
          <w:rFonts w:eastAsiaTheme="majorEastAsia"/>
        </w:rPr>
        <w:t>Counsel liability is plausible:</w:t>
      </w:r>
      <w:r>
        <w:t xml:space="preserve"> The malpractice allegations against counsel who drafted or facilitated contested instruments are supported by billing entries and internal communications that suggest post</w:t>
      </w:r>
      <w:r>
        <w:noBreakHyphen/>
        <w:t>hoc revisions and advice that may have enabled improper transfers.</w:t>
      </w:r>
    </w:p>
    <w:p w14:paraId="292B9C66" w14:textId="77777777" w:rsidR="002C28AA" w:rsidRDefault="002C28AA" w:rsidP="002C28AA">
      <w:pPr>
        <w:pStyle w:val="Heading4"/>
      </w:pPr>
      <w:r>
        <w:t>Recommended litigation strategy</w:t>
      </w:r>
    </w:p>
    <w:p w14:paraId="091BBA84" w14:textId="77777777" w:rsidR="002C28AA" w:rsidRDefault="002C28AA" w:rsidP="002C28AA">
      <w:pPr>
        <w:pStyle w:val="NormalWeb"/>
        <w:numPr>
          <w:ilvl w:val="0"/>
          <w:numId w:val="41"/>
        </w:numPr>
      </w:pPr>
      <w:r>
        <w:rPr>
          <w:rStyle w:val="Strong"/>
          <w:rFonts w:eastAsiaTheme="majorEastAsia"/>
        </w:rPr>
        <w:t>Preserve federal remedies:</w:t>
      </w:r>
      <w:r>
        <w:t xml:space="preserve"> Continue to rely on the Fifth Circuit’s holding to maintain federal jurisdiction where appropriate, particularly to secure forensic accounting, asset freezes, and appointment of neutral experts.</w:t>
      </w:r>
    </w:p>
    <w:p w14:paraId="07CF1C0B" w14:textId="77777777" w:rsidR="002C28AA" w:rsidRDefault="002C28AA" w:rsidP="002C28AA">
      <w:pPr>
        <w:pStyle w:val="NormalWeb"/>
        <w:numPr>
          <w:ilvl w:val="0"/>
          <w:numId w:val="41"/>
        </w:numPr>
      </w:pPr>
      <w:r>
        <w:rPr>
          <w:rStyle w:val="Strong"/>
          <w:rFonts w:eastAsiaTheme="majorEastAsia"/>
        </w:rPr>
        <w:t>Use documentary and email evidence aggressively:</w:t>
      </w:r>
      <w:r>
        <w:t xml:space="preserve"> Move to compel full production, seek adverse inferences or sanctions for concealment, and use internal counsel communications (Exhibit 44a) to impeach defenses of full disclosure.</w:t>
      </w:r>
    </w:p>
    <w:p w14:paraId="2F738D6A" w14:textId="77777777" w:rsidR="002C28AA" w:rsidRDefault="002C28AA" w:rsidP="002C28AA">
      <w:pPr>
        <w:pStyle w:val="NormalWeb"/>
        <w:numPr>
          <w:ilvl w:val="0"/>
          <w:numId w:val="41"/>
        </w:numPr>
      </w:pPr>
      <w:r>
        <w:rPr>
          <w:rStyle w:val="Strong"/>
          <w:rFonts w:eastAsiaTheme="majorEastAsia"/>
        </w:rPr>
        <w:t>Challenge post</w:t>
      </w:r>
      <w:r>
        <w:rPr>
          <w:rStyle w:val="Strong"/>
          <w:rFonts w:eastAsiaTheme="majorEastAsia"/>
        </w:rPr>
        <w:noBreakHyphen/>
        <w:t>closure probate filings:</w:t>
      </w:r>
      <w:r>
        <w:t xml:space="preserve"> File motions to dismiss or for declaratory relief in state probate courts asserting lack of jurisdiction and voidness of post</w:t>
      </w:r>
      <w:r>
        <w:noBreakHyphen/>
        <w:t>closure filings; attach the inventories, drop orders, and Claim Docket Indices (Exhibits 14–16, 24–27, 16, 27) as dispositive evidence.</w:t>
      </w:r>
    </w:p>
    <w:p w14:paraId="7F04F6EB" w14:textId="77777777" w:rsidR="002C28AA" w:rsidRDefault="002C28AA" w:rsidP="002C28AA">
      <w:pPr>
        <w:pStyle w:val="NormalWeb"/>
        <w:numPr>
          <w:ilvl w:val="0"/>
          <w:numId w:val="41"/>
        </w:numPr>
      </w:pPr>
      <w:r>
        <w:rPr>
          <w:rStyle w:val="Strong"/>
          <w:rFonts w:eastAsiaTheme="majorEastAsia"/>
        </w:rPr>
        <w:t>Coordinate malpractice and fiduciary claims:</w:t>
      </w:r>
      <w:r>
        <w:t xml:space="preserve"> Use findings from forensic accounting and discovery in the fiduciary litigation to support malpractice claims against counsel who allegedly enabled the contested instruments.</w:t>
      </w:r>
    </w:p>
    <w:p w14:paraId="7C818649" w14:textId="77777777" w:rsidR="002C28AA" w:rsidRDefault="002C28AA" w:rsidP="002C28AA">
      <w:pPr>
        <w:pStyle w:val="Heading3"/>
      </w:pPr>
      <w:r>
        <w:t>Conclusion</w:t>
      </w:r>
    </w:p>
    <w:p w14:paraId="10099489" w14:textId="77777777" w:rsidR="002C28AA" w:rsidRDefault="002C28AA" w:rsidP="002C28AA">
      <w:pPr>
        <w:pStyle w:val="NormalWeb"/>
      </w:pPr>
      <w:r>
        <w:t>This memorandum synthesizes the probate records, trust instruments, federal litigation, internal counsel communications, malpractice claims, and Carl’s probate petition into a single, litigation</w:t>
      </w:r>
      <w:r>
        <w:noBreakHyphen/>
        <w:t>ready exhibit. The documentary record and appellate precedent together establish (1) the termination of probate jurisdiction in April 2013, (2) the propriety and necessity of federal adjudication of trust</w:t>
      </w:r>
      <w:r>
        <w:noBreakHyphen/>
        <w:t xml:space="preserve">abuse claims, and (3) substantial documentary evidence supporting claims </w:t>
      </w:r>
      <w:r>
        <w:lastRenderedPageBreak/>
        <w:t xml:space="preserve">of concealment, undue influence, and fiduciary breach. The attached exhibits (Exhibits </w:t>
      </w:r>
      <w:r>
        <w:rPr>
          <w:rStyle w:val="Strong"/>
          <w:rFonts w:eastAsiaTheme="majorEastAsia"/>
        </w:rPr>
        <w:t>11–16</w:t>
      </w:r>
      <w:r>
        <w:t xml:space="preserve">, </w:t>
      </w:r>
      <w:r>
        <w:rPr>
          <w:rStyle w:val="Strong"/>
          <w:rFonts w:eastAsiaTheme="majorEastAsia"/>
        </w:rPr>
        <w:t>21–27</w:t>
      </w:r>
      <w:r>
        <w:t xml:space="preserve">, </w:t>
      </w:r>
      <w:r>
        <w:rPr>
          <w:rStyle w:val="Strong"/>
          <w:rFonts w:eastAsiaTheme="majorEastAsia"/>
        </w:rPr>
        <w:t>31–324</w:t>
      </w:r>
      <w:r>
        <w:t xml:space="preserve">, </w:t>
      </w:r>
      <w:r>
        <w:rPr>
          <w:rStyle w:val="Strong"/>
          <w:rFonts w:eastAsiaTheme="majorEastAsia"/>
        </w:rPr>
        <w:t>41–44c</w:t>
      </w:r>
      <w:r>
        <w:t>) provide the evidentiary foundation for the legal positions summarized herein.</w:t>
      </w:r>
    </w:p>
    <w:p w14:paraId="339CD776" w14:textId="77777777" w:rsidR="00C74FF2" w:rsidRDefault="00C74FF2"/>
    <w:sectPr w:rsidR="00C74F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2148"/>
    <w:multiLevelType w:val="multilevel"/>
    <w:tmpl w:val="1D30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2011C"/>
    <w:multiLevelType w:val="multilevel"/>
    <w:tmpl w:val="8F60D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05077"/>
    <w:multiLevelType w:val="multilevel"/>
    <w:tmpl w:val="61C8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43BCE"/>
    <w:multiLevelType w:val="multilevel"/>
    <w:tmpl w:val="17BC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E4542"/>
    <w:multiLevelType w:val="multilevel"/>
    <w:tmpl w:val="5254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31D94"/>
    <w:multiLevelType w:val="multilevel"/>
    <w:tmpl w:val="C836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02514"/>
    <w:multiLevelType w:val="multilevel"/>
    <w:tmpl w:val="48E0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B8151A"/>
    <w:multiLevelType w:val="multilevel"/>
    <w:tmpl w:val="64F4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7C45F4"/>
    <w:multiLevelType w:val="multilevel"/>
    <w:tmpl w:val="EB802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D25E36"/>
    <w:multiLevelType w:val="multilevel"/>
    <w:tmpl w:val="07C4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864F9"/>
    <w:multiLevelType w:val="multilevel"/>
    <w:tmpl w:val="BD62F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4A6ABF"/>
    <w:multiLevelType w:val="multilevel"/>
    <w:tmpl w:val="D27C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722A3F"/>
    <w:multiLevelType w:val="multilevel"/>
    <w:tmpl w:val="E0163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273DF9"/>
    <w:multiLevelType w:val="multilevel"/>
    <w:tmpl w:val="6464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9C18E2"/>
    <w:multiLevelType w:val="multilevel"/>
    <w:tmpl w:val="7EB0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D1CC5"/>
    <w:multiLevelType w:val="multilevel"/>
    <w:tmpl w:val="CC7C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6C785C"/>
    <w:multiLevelType w:val="multilevel"/>
    <w:tmpl w:val="4FC2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7F2281"/>
    <w:multiLevelType w:val="multilevel"/>
    <w:tmpl w:val="AE5C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A55767"/>
    <w:multiLevelType w:val="multilevel"/>
    <w:tmpl w:val="B4BC1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B9726D"/>
    <w:multiLevelType w:val="multilevel"/>
    <w:tmpl w:val="301C19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9A1522"/>
    <w:multiLevelType w:val="multilevel"/>
    <w:tmpl w:val="B7EC52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2696ED3"/>
    <w:multiLevelType w:val="multilevel"/>
    <w:tmpl w:val="A5D8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876624"/>
    <w:multiLevelType w:val="hybridMultilevel"/>
    <w:tmpl w:val="8B20C850"/>
    <w:lvl w:ilvl="0" w:tplc="60BC6198">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4B516DE"/>
    <w:multiLevelType w:val="multilevel"/>
    <w:tmpl w:val="E058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376A0D"/>
    <w:multiLevelType w:val="multilevel"/>
    <w:tmpl w:val="7FAA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1A7840"/>
    <w:multiLevelType w:val="hybridMultilevel"/>
    <w:tmpl w:val="F9BAE962"/>
    <w:lvl w:ilvl="0" w:tplc="407E9902">
      <w:start w:val="1"/>
      <w:numFmt w:val="upperLetter"/>
      <w:pStyle w:val="Heading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9AF0E2D"/>
    <w:multiLevelType w:val="multilevel"/>
    <w:tmpl w:val="1FEC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402F1C"/>
    <w:multiLevelType w:val="multilevel"/>
    <w:tmpl w:val="2582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AE0DF2"/>
    <w:multiLevelType w:val="multilevel"/>
    <w:tmpl w:val="402EB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44B0DB0"/>
    <w:multiLevelType w:val="multilevel"/>
    <w:tmpl w:val="71B6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7E0C28"/>
    <w:multiLevelType w:val="hybridMultilevel"/>
    <w:tmpl w:val="4D8426BA"/>
    <w:lvl w:ilvl="0" w:tplc="D4FEA0A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A67354"/>
    <w:multiLevelType w:val="multilevel"/>
    <w:tmpl w:val="4A14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8F7AF4"/>
    <w:multiLevelType w:val="multilevel"/>
    <w:tmpl w:val="87D8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F43D8E"/>
    <w:multiLevelType w:val="multilevel"/>
    <w:tmpl w:val="4A36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9D7941"/>
    <w:multiLevelType w:val="multilevel"/>
    <w:tmpl w:val="27EA8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801A8C"/>
    <w:multiLevelType w:val="multilevel"/>
    <w:tmpl w:val="6772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D904EB"/>
    <w:multiLevelType w:val="multilevel"/>
    <w:tmpl w:val="AF6A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1F56FC"/>
    <w:multiLevelType w:val="multilevel"/>
    <w:tmpl w:val="7A12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E65F46"/>
    <w:multiLevelType w:val="hybridMultilevel"/>
    <w:tmpl w:val="0B8C7194"/>
    <w:lvl w:ilvl="0" w:tplc="45148280">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951176"/>
    <w:multiLevelType w:val="multilevel"/>
    <w:tmpl w:val="04E0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9"/>
  </w:num>
  <w:num w:numId="3">
    <w:abstractNumId w:val="38"/>
  </w:num>
  <w:num w:numId="4">
    <w:abstractNumId w:val="22"/>
  </w:num>
  <w:num w:numId="5">
    <w:abstractNumId w:val="38"/>
  </w:num>
  <w:num w:numId="6">
    <w:abstractNumId w:val="20"/>
  </w:num>
  <w:num w:numId="7">
    <w:abstractNumId w:val="25"/>
  </w:num>
  <w:num w:numId="8">
    <w:abstractNumId w:val="10"/>
  </w:num>
  <w:num w:numId="9">
    <w:abstractNumId w:val="6"/>
  </w:num>
  <w:num w:numId="10">
    <w:abstractNumId w:val="27"/>
  </w:num>
  <w:num w:numId="11">
    <w:abstractNumId w:val="29"/>
  </w:num>
  <w:num w:numId="12">
    <w:abstractNumId w:val="31"/>
  </w:num>
  <w:num w:numId="13">
    <w:abstractNumId w:val="7"/>
  </w:num>
  <w:num w:numId="14">
    <w:abstractNumId w:val="26"/>
  </w:num>
  <w:num w:numId="15">
    <w:abstractNumId w:val="16"/>
  </w:num>
  <w:num w:numId="16">
    <w:abstractNumId w:val="8"/>
  </w:num>
  <w:num w:numId="17">
    <w:abstractNumId w:val="18"/>
  </w:num>
  <w:num w:numId="18">
    <w:abstractNumId w:val="11"/>
  </w:num>
  <w:num w:numId="19">
    <w:abstractNumId w:val="36"/>
  </w:num>
  <w:num w:numId="20">
    <w:abstractNumId w:val="5"/>
  </w:num>
  <w:num w:numId="21">
    <w:abstractNumId w:val="2"/>
  </w:num>
  <w:num w:numId="22">
    <w:abstractNumId w:val="17"/>
  </w:num>
  <w:num w:numId="23">
    <w:abstractNumId w:val="15"/>
  </w:num>
  <w:num w:numId="24">
    <w:abstractNumId w:val="3"/>
  </w:num>
  <w:num w:numId="25">
    <w:abstractNumId w:val="1"/>
  </w:num>
  <w:num w:numId="26">
    <w:abstractNumId w:val="34"/>
  </w:num>
  <w:num w:numId="27">
    <w:abstractNumId w:val="14"/>
  </w:num>
  <w:num w:numId="28">
    <w:abstractNumId w:val="13"/>
  </w:num>
  <w:num w:numId="29">
    <w:abstractNumId w:val="9"/>
  </w:num>
  <w:num w:numId="30">
    <w:abstractNumId w:val="4"/>
  </w:num>
  <w:num w:numId="31">
    <w:abstractNumId w:val="0"/>
  </w:num>
  <w:num w:numId="32">
    <w:abstractNumId w:val="24"/>
  </w:num>
  <w:num w:numId="33">
    <w:abstractNumId w:val="23"/>
  </w:num>
  <w:num w:numId="34">
    <w:abstractNumId w:val="35"/>
  </w:num>
  <w:num w:numId="35">
    <w:abstractNumId w:val="32"/>
  </w:num>
  <w:num w:numId="36">
    <w:abstractNumId w:val="33"/>
  </w:num>
  <w:num w:numId="37">
    <w:abstractNumId w:val="21"/>
  </w:num>
  <w:num w:numId="38">
    <w:abstractNumId w:val="37"/>
  </w:num>
  <w:num w:numId="39">
    <w:abstractNumId w:val="28"/>
  </w:num>
  <w:num w:numId="40">
    <w:abstractNumId w:val="12"/>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8AA"/>
    <w:rsid w:val="002C1D5E"/>
    <w:rsid w:val="002C28AA"/>
    <w:rsid w:val="004117AA"/>
    <w:rsid w:val="00574FE0"/>
    <w:rsid w:val="008D42E0"/>
    <w:rsid w:val="00BD2E04"/>
    <w:rsid w:val="00C27844"/>
    <w:rsid w:val="00C74FF2"/>
    <w:rsid w:val="00DC1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17B5D"/>
  <w15:chartTrackingRefBased/>
  <w15:docId w15:val="{6B5F19AE-AF20-4539-B97C-AC84C261E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2E0"/>
    <w:pPr>
      <w:spacing w:before="120" w:after="240" w:line="480" w:lineRule="auto"/>
      <w:ind w:firstLine="720"/>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BD2E04"/>
    <w:pPr>
      <w:widowControl w:val="0"/>
      <w:spacing w:before="240" w:line="240" w:lineRule="auto"/>
      <w:ind w:firstLine="0"/>
      <w:outlineLvl w:val="0"/>
    </w:pPr>
    <w:rPr>
      <w:b/>
      <w:bCs/>
      <w:szCs w:val="28"/>
    </w:rPr>
  </w:style>
  <w:style w:type="paragraph" w:styleId="Heading2">
    <w:name w:val="heading 2"/>
    <w:basedOn w:val="Normal"/>
    <w:next w:val="Normal"/>
    <w:link w:val="Heading2Char"/>
    <w:autoRedefine/>
    <w:uiPriority w:val="9"/>
    <w:semiHidden/>
    <w:unhideWhenUsed/>
    <w:qFormat/>
    <w:rsid w:val="00DC1F52"/>
    <w:pPr>
      <w:keepNext/>
      <w:keepLines/>
      <w:numPr>
        <w:numId w:val="5"/>
      </w:numPr>
      <w:spacing w:after="120"/>
      <w:ind w:left="1440"/>
      <w:outlineLvl w:val="1"/>
    </w:pPr>
    <w:rPr>
      <w:rFonts w:asciiTheme="majorHAnsi" w:eastAsiaTheme="majorEastAsia" w:hAnsiTheme="majorHAnsi" w:cstheme="majorBidi"/>
      <w:b/>
      <w:szCs w:val="26"/>
    </w:rPr>
  </w:style>
  <w:style w:type="paragraph" w:styleId="Heading3">
    <w:name w:val="heading 3"/>
    <w:basedOn w:val="Normal"/>
    <w:next w:val="Normal"/>
    <w:link w:val="Heading3Char"/>
    <w:autoRedefine/>
    <w:uiPriority w:val="9"/>
    <w:unhideWhenUsed/>
    <w:qFormat/>
    <w:rsid w:val="00C27844"/>
    <w:pPr>
      <w:numPr>
        <w:numId w:val="7"/>
      </w:numPr>
      <w:contextualSpacing/>
      <w:outlineLvl w:val="2"/>
    </w:pPr>
    <w:rPr>
      <w:b/>
    </w:rPr>
  </w:style>
  <w:style w:type="paragraph" w:styleId="Heading4">
    <w:name w:val="heading 4"/>
    <w:basedOn w:val="Normal"/>
    <w:next w:val="Normal"/>
    <w:link w:val="Heading4Char"/>
    <w:uiPriority w:val="9"/>
    <w:semiHidden/>
    <w:unhideWhenUsed/>
    <w:qFormat/>
    <w:rsid w:val="002C28A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28A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E04"/>
    <w:rPr>
      <w:rFonts w:ascii="Times New Roman" w:eastAsia="Times New Roman" w:hAnsi="Times New Roman" w:cs="Times New Roman"/>
      <w:b/>
      <w:bCs/>
      <w:sz w:val="28"/>
      <w:szCs w:val="28"/>
    </w:rPr>
  </w:style>
  <w:style w:type="paragraph" w:customStyle="1" w:styleId="NumPara1">
    <w:name w:val="Num Para 1"/>
    <w:basedOn w:val="Normal"/>
    <w:link w:val="NumPara1Char"/>
    <w:autoRedefine/>
    <w:qFormat/>
    <w:rsid w:val="00DC1F52"/>
    <w:pPr>
      <w:tabs>
        <w:tab w:val="num" w:pos="1440"/>
      </w:tabs>
      <w:ind w:firstLine="360"/>
      <w:jc w:val="both"/>
    </w:pPr>
    <w:rPr>
      <w:szCs w:val="28"/>
    </w:rPr>
  </w:style>
  <w:style w:type="character" w:customStyle="1" w:styleId="NumPara1Char">
    <w:name w:val="Num Para 1 Char"/>
    <w:basedOn w:val="DefaultParagraphFont"/>
    <w:link w:val="NumPara1"/>
    <w:rsid w:val="00DC1F52"/>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semiHidden/>
    <w:rsid w:val="00DC1F52"/>
    <w:rPr>
      <w:rFonts w:asciiTheme="majorHAnsi" w:eastAsiaTheme="majorEastAsia" w:hAnsiTheme="majorHAnsi" w:cstheme="majorBidi"/>
      <w:b/>
      <w:sz w:val="28"/>
      <w:szCs w:val="26"/>
    </w:rPr>
  </w:style>
  <w:style w:type="paragraph" w:styleId="Title">
    <w:name w:val="Title"/>
    <w:basedOn w:val="Normal"/>
    <w:next w:val="Normal"/>
    <w:link w:val="TitleChar"/>
    <w:autoRedefine/>
    <w:uiPriority w:val="10"/>
    <w:qFormat/>
    <w:rsid w:val="002C1D5E"/>
    <w:pPr>
      <w:spacing w:line="240" w:lineRule="auto"/>
      <w:ind w:firstLine="0"/>
      <w:contextualSpacing/>
      <w:jc w:val="center"/>
      <w:outlineLvl w:val="0"/>
    </w:pPr>
    <w:rPr>
      <w:rFonts w:eastAsiaTheme="majorEastAsia" w:cstheme="majorBidi"/>
      <w:b/>
      <w:spacing w:val="-10"/>
      <w:kern w:val="28"/>
      <w:szCs w:val="52"/>
    </w:rPr>
  </w:style>
  <w:style w:type="character" w:customStyle="1" w:styleId="TitleChar">
    <w:name w:val="Title Char"/>
    <w:basedOn w:val="DefaultParagraphFont"/>
    <w:link w:val="Title"/>
    <w:uiPriority w:val="10"/>
    <w:rsid w:val="002C1D5E"/>
    <w:rPr>
      <w:rFonts w:ascii="Times New Roman" w:eastAsiaTheme="majorEastAsia" w:hAnsi="Times New Roman" w:cstheme="majorBidi"/>
      <w:b/>
      <w:spacing w:val="-10"/>
      <w:kern w:val="28"/>
      <w:sz w:val="28"/>
      <w:szCs w:val="52"/>
    </w:rPr>
  </w:style>
  <w:style w:type="character" w:customStyle="1" w:styleId="Heading3Char">
    <w:name w:val="Heading 3 Char"/>
    <w:basedOn w:val="DefaultParagraphFont"/>
    <w:link w:val="Heading3"/>
    <w:uiPriority w:val="9"/>
    <w:rsid w:val="00C27844"/>
    <w:rPr>
      <w:rFonts w:ascii="Times New Roman" w:eastAsia="Times New Roman" w:hAnsi="Times New Roman" w:cs="Times New Roman"/>
      <w:b/>
      <w:sz w:val="28"/>
      <w:szCs w:val="24"/>
    </w:rPr>
  </w:style>
  <w:style w:type="paragraph" w:styleId="Quote">
    <w:name w:val="Quote"/>
    <w:basedOn w:val="Normal"/>
    <w:next w:val="Normal"/>
    <w:link w:val="QuoteChar"/>
    <w:autoRedefine/>
    <w:uiPriority w:val="29"/>
    <w:qFormat/>
    <w:rsid w:val="00BD2E04"/>
    <w:pPr>
      <w:spacing w:after="160" w:line="240" w:lineRule="auto"/>
      <w:ind w:left="720" w:right="720" w:firstLine="0"/>
      <w:contextualSpacing/>
      <w:jc w:val="both"/>
    </w:pPr>
    <w:rPr>
      <w:i/>
      <w:iCs/>
      <w:color w:val="404040" w:themeColor="text1" w:themeTint="BF"/>
    </w:rPr>
  </w:style>
  <w:style w:type="character" w:customStyle="1" w:styleId="QuoteChar">
    <w:name w:val="Quote Char"/>
    <w:basedOn w:val="DefaultParagraphFont"/>
    <w:link w:val="Quote"/>
    <w:uiPriority w:val="29"/>
    <w:rsid w:val="00BD2E04"/>
    <w:rPr>
      <w:rFonts w:ascii="Times New Roman" w:hAnsi="Times New Roman"/>
      <w:i/>
      <w:iCs/>
      <w:color w:val="404040" w:themeColor="text1" w:themeTint="BF"/>
      <w:sz w:val="28"/>
    </w:rPr>
  </w:style>
  <w:style w:type="paragraph" w:styleId="NormalWeb">
    <w:name w:val="Normal (Web)"/>
    <w:basedOn w:val="Normal"/>
    <w:uiPriority w:val="99"/>
    <w:semiHidden/>
    <w:unhideWhenUsed/>
    <w:rsid w:val="002C28AA"/>
    <w:pPr>
      <w:spacing w:before="100" w:beforeAutospacing="1" w:after="100" w:afterAutospacing="1" w:line="240" w:lineRule="auto"/>
      <w:ind w:firstLine="0"/>
    </w:pPr>
  </w:style>
  <w:style w:type="character" w:styleId="Strong">
    <w:name w:val="Strong"/>
    <w:basedOn w:val="DefaultParagraphFont"/>
    <w:uiPriority w:val="22"/>
    <w:qFormat/>
    <w:rsid w:val="002C28AA"/>
    <w:rPr>
      <w:b/>
      <w:bCs/>
    </w:rPr>
  </w:style>
  <w:style w:type="character" w:styleId="Emphasis">
    <w:name w:val="Emphasis"/>
    <w:basedOn w:val="DefaultParagraphFont"/>
    <w:uiPriority w:val="20"/>
    <w:qFormat/>
    <w:rsid w:val="002C28AA"/>
    <w:rPr>
      <w:i/>
      <w:iCs/>
    </w:rPr>
  </w:style>
  <w:style w:type="character" w:customStyle="1" w:styleId="Heading4Char">
    <w:name w:val="Heading 4 Char"/>
    <w:basedOn w:val="DefaultParagraphFont"/>
    <w:link w:val="Heading4"/>
    <w:uiPriority w:val="9"/>
    <w:semiHidden/>
    <w:rsid w:val="002C28AA"/>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2C28AA"/>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18671">
      <w:bodyDiv w:val="1"/>
      <w:marLeft w:val="0"/>
      <w:marRight w:val="0"/>
      <w:marTop w:val="0"/>
      <w:marBottom w:val="0"/>
      <w:divBdr>
        <w:top w:val="none" w:sz="0" w:space="0" w:color="auto"/>
        <w:left w:val="none" w:sz="0" w:space="0" w:color="auto"/>
        <w:bottom w:val="none" w:sz="0" w:space="0" w:color="auto"/>
        <w:right w:val="none" w:sz="0" w:space="0" w:color="auto"/>
      </w:divBdr>
      <w:divsChild>
        <w:div w:id="37049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0515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6769319">
      <w:bodyDiv w:val="1"/>
      <w:marLeft w:val="0"/>
      <w:marRight w:val="0"/>
      <w:marTop w:val="0"/>
      <w:marBottom w:val="0"/>
      <w:divBdr>
        <w:top w:val="none" w:sz="0" w:space="0" w:color="auto"/>
        <w:left w:val="none" w:sz="0" w:space="0" w:color="auto"/>
        <w:bottom w:val="none" w:sz="0" w:space="0" w:color="auto"/>
        <w:right w:val="none" w:sz="0" w:space="0" w:color="auto"/>
      </w:divBdr>
    </w:div>
    <w:div w:id="745417791">
      <w:bodyDiv w:val="1"/>
      <w:marLeft w:val="0"/>
      <w:marRight w:val="0"/>
      <w:marTop w:val="0"/>
      <w:marBottom w:val="0"/>
      <w:divBdr>
        <w:top w:val="none" w:sz="0" w:space="0" w:color="auto"/>
        <w:left w:val="none" w:sz="0" w:space="0" w:color="auto"/>
        <w:bottom w:val="none" w:sz="0" w:space="0" w:color="auto"/>
        <w:right w:val="none" w:sz="0" w:space="0" w:color="auto"/>
      </w:divBdr>
      <w:divsChild>
        <w:div w:id="1533885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6626726">
      <w:bodyDiv w:val="1"/>
      <w:marLeft w:val="0"/>
      <w:marRight w:val="0"/>
      <w:marTop w:val="0"/>
      <w:marBottom w:val="0"/>
      <w:divBdr>
        <w:top w:val="none" w:sz="0" w:space="0" w:color="auto"/>
        <w:left w:val="none" w:sz="0" w:space="0" w:color="auto"/>
        <w:bottom w:val="none" w:sz="0" w:space="0" w:color="auto"/>
        <w:right w:val="none" w:sz="0" w:space="0" w:color="auto"/>
      </w:divBdr>
      <w:divsChild>
        <w:div w:id="589048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2634</TotalTime>
  <Pages>12</Pages>
  <Words>3662</Words>
  <Characters>20880</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Cypher</dc:creator>
  <cp:keywords/>
  <dc:description/>
  <cp:lastModifiedBy>Luis Cypher</cp:lastModifiedBy>
  <cp:revision>1</cp:revision>
  <dcterms:created xsi:type="dcterms:W3CDTF">2026-04-17T20:40:00Z</dcterms:created>
  <dcterms:modified xsi:type="dcterms:W3CDTF">2026-04-20T21:51:00Z</dcterms:modified>
</cp:coreProperties>
</file>